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07EAEFD4"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w:t>
      </w:r>
      <w:r w:rsidR="00CB039C">
        <w:rPr>
          <w:rFonts w:cs="Arial" w:hint="eastAsia"/>
        </w:rPr>
        <w:t>7</w:t>
      </w:r>
      <w:r w:rsidRPr="00863065">
        <w:rPr>
          <w:rFonts w:cs="Arial"/>
        </w:rPr>
        <w:tab/>
        <w:t>R</w:t>
      </w:r>
      <w:r>
        <w:rPr>
          <w:rFonts w:cs="Arial" w:hint="eastAsia"/>
        </w:rPr>
        <w:t>2</w:t>
      </w:r>
      <w:r w:rsidRPr="00863065">
        <w:rPr>
          <w:rFonts w:cs="Arial"/>
        </w:rPr>
        <w:t>-</w:t>
      </w:r>
      <w:r>
        <w:rPr>
          <w:rFonts w:cs="Arial"/>
        </w:rPr>
        <w:t>2</w:t>
      </w:r>
      <w:r w:rsidR="00D40190">
        <w:rPr>
          <w:rFonts w:cs="Arial"/>
        </w:rPr>
        <w:t>4</w:t>
      </w:r>
      <w:r w:rsidR="00297E4A">
        <w:rPr>
          <w:rFonts w:cs="Arial" w:hint="eastAsia"/>
        </w:rPr>
        <w:t>07136</w:t>
      </w:r>
    </w:p>
    <w:p w14:paraId="298061C1" w14:textId="446C0F0B" w:rsidR="005857F6" w:rsidRPr="00863065" w:rsidRDefault="00CB039C" w:rsidP="005857F6">
      <w:pPr>
        <w:pStyle w:val="a7"/>
        <w:tabs>
          <w:tab w:val="left" w:pos="709"/>
          <w:tab w:val="right" w:pos="9639"/>
        </w:tabs>
        <w:spacing w:after="0"/>
        <w:jc w:val="left"/>
        <w:rPr>
          <w:rFonts w:cs="Arial"/>
          <w:lang w:val="en-US"/>
        </w:rPr>
      </w:pPr>
      <w:r>
        <w:rPr>
          <w:rFonts w:cs="Arial" w:hint="eastAsia"/>
          <w:lang w:val="en-US"/>
        </w:rPr>
        <w:t>Maastricht</w:t>
      </w:r>
      <w:r w:rsidR="005857F6">
        <w:rPr>
          <w:rFonts w:cs="Arial"/>
          <w:lang w:val="en-US"/>
        </w:rPr>
        <w:t xml:space="preserve">, </w:t>
      </w:r>
      <w:r>
        <w:rPr>
          <w:rFonts w:cs="Arial" w:hint="eastAsia"/>
          <w:lang w:val="en-US"/>
        </w:rPr>
        <w:t>Netherlands</w:t>
      </w:r>
      <w:r w:rsidR="005857F6">
        <w:rPr>
          <w:rFonts w:cs="Arial"/>
          <w:lang w:val="en-US"/>
        </w:rPr>
        <w:t xml:space="preserve">, </w:t>
      </w:r>
      <w:r>
        <w:rPr>
          <w:rFonts w:cs="Arial" w:hint="eastAsia"/>
          <w:lang w:val="en-US"/>
        </w:rPr>
        <w:t>19</w:t>
      </w:r>
      <w:r w:rsidR="005857F6">
        <w:rPr>
          <w:rFonts w:cs="Arial" w:hint="eastAsia"/>
          <w:lang w:val="en-US"/>
        </w:rPr>
        <w:t xml:space="preserve"> </w:t>
      </w:r>
      <w:r w:rsidR="005857F6">
        <w:rPr>
          <w:rFonts w:cs="Arial"/>
          <w:lang w:val="en-US"/>
        </w:rPr>
        <w:t>–</w:t>
      </w:r>
      <w:r w:rsidR="005857F6">
        <w:rPr>
          <w:rFonts w:cs="Arial" w:hint="eastAsia"/>
          <w:lang w:val="en-US"/>
        </w:rPr>
        <w:t xml:space="preserve"> </w:t>
      </w:r>
      <w:r w:rsidR="00D40190">
        <w:rPr>
          <w:rFonts w:cs="Arial"/>
          <w:lang w:val="en-US"/>
        </w:rPr>
        <w:t>2</w:t>
      </w:r>
      <w:r>
        <w:rPr>
          <w:rFonts w:cs="Arial" w:hint="eastAsia"/>
          <w:lang w:val="en-US"/>
        </w:rPr>
        <w:t>3</w:t>
      </w:r>
      <w:r w:rsidR="00D40190">
        <w:rPr>
          <w:rFonts w:cs="Arial"/>
          <w:lang w:val="en-US"/>
        </w:rPr>
        <w:t xml:space="preserve"> </w:t>
      </w:r>
      <w:r>
        <w:rPr>
          <w:rFonts w:cs="Arial" w:hint="eastAsia"/>
          <w:lang w:val="en-US"/>
        </w:rPr>
        <w:t>August</w:t>
      </w:r>
      <w:r w:rsidR="005857F6" w:rsidRPr="00802E96">
        <w:rPr>
          <w:rFonts w:cs="Arial"/>
          <w:lang w:val="en-US"/>
        </w:rPr>
        <w:t xml:space="preserve"> 20</w:t>
      </w:r>
      <w:r w:rsidR="005857F6">
        <w:rPr>
          <w:rFonts w:cs="Arial"/>
          <w:lang w:val="en-US"/>
        </w:rPr>
        <w:t>2</w:t>
      </w:r>
      <w:r w:rsidR="00D40190">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097ED3E"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62D63" w:rsidRPr="00F62D63">
        <w:rPr>
          <w:rFonts w:cs="Arial"/>
          <w:b/>
          <w:sz w:val="24"/>
        </w:rPr>
        <w:t xml:space="preserve">Discussion on </w:t>
      </w:r>
      <w:r w:rsidR="007E239A" w:rsidRPr="007E239A">
        <w:rPr>
          <w:rFonts w:cs="Arial"/>
          <w:b/>
          <w:sz w:val="24"/>
        </w:rPr>
        <w:t>A</w:t>
      </w:r>
      <w:r w:rsidR="00C74B89">
        <w:rPr>
          <w:rFonts w:cs="Arial" w:hint="eastAsia"/>
          <w:b/>
          <w:sz w:val="24"/>
        </w:rPr>
        <w:t>-</w:t>
      </w:r>
      <w:r w:rsidR="007E239A" w:rsidRPr="007E239A">
        <w:rPr>
          <w:rFonts w:cs="Arial"/>
          <w:b/>
          <w:sz w:val="24"/>
        </w:rPr>
        <w:t>IoT</w:t>
      </w:r>
      <w:r w:rsidR="00C74B89">
        <w:rPr>
          <w:rFonts w:cs="Arial" w:hint="eastAsia"/>
          <w:b/>
          <w:sz w:val="24"/>
        </w:rPr>
        <w:t xml:space="preserve"> paging</w:t>
      </w:r>
      <w:r w:rsidR="00297E4A">
        <w:rPr>
          <w:rFonts w:cs="Arial" w:hint="eastAsia"/>
          <w:b/>
          <w:sz w:val="24"/>
        </w:rPr>
        <w:t xml:space="preserve"> message</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0E48616A"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62D63">
        <w:rPr>
          <w:rFonts w:cs="Arial"/>
          <w:b/>
          <w:sz w:val="24"/>
        </w:rPr>
        <w:t>8</w:t>
      </w:r>
      <w:r>
        <w:rPr>
          <w:rFonts w:cs="Arial"/>
          <w:b/>
          <w:sz w:val="24"/>
        </w:rPr>
        <w:t>.</w:t>
      </w:r>
      <w:r w:rsidR="00903130">
        <w:rPr>
          <w:rFonts w:cs="Arial"/>
          <w:b/>
          <w:sz w:val="24"/>
        </w:rPr>
        <w:t>2</w:t>
      </w:r>
      <w:r>
        <w:rPr>
          <w:rFonts w:cs="Arial"/>
          <w:b/>
          <w:sz w:val="24"/>
        </w:rPr>
        <w:t>.</w:t>
      </w:r>
      <w:r w:rsidR="00C74B89">
        <w:rPr>
          <w:rFonts w:cs="Arial" w:hint="eastAsia"/>
          <w:b/>
          <w:sz w:val="24"/>
        </w:rPr>
        <w:t>3</w:t>
      </w:r>
    </w:p>
    <w:p w14:paraId="25B11A1D" w14:textId="77777777" w:rsidR="007E2FC8" w:rsidRDefault="007E2FC8" w:rsidP="007E2FC8">
      <w:pPr>
        <w:pStyle w:val="2"/>
        <w:numPr>
          <w:ilvl w:val="0"/>
          <w:numId w:val="1"/>
        </w:numPr>
        <w:rPr>
          <w:rFonts w:cs="Arial"/>
        </w:rPr>
      </w:pPr>
      <w:r w:rsidRPr="00863065">
        <w:rPr>
          <w:rFonts w:cs="Arial"/>
        </w:rPr>
        <w:t>Introduction</w:t>
      </w:r>
    </w:p>
    <w:p w14:paraId="1466C196" w14:textId="075175BF" w:rsidR="00610994" w:rsidRDefault="00610994" w:rsidP="00610994">
      <w:r>
        <w:rPr>
          <w:rFonts w:hint="eastAsia"/>
          <w:szCs w:val="22"/>
        </w:rPr>
        <w:t>In the last meeting, RAN2 reached following agreements on contents of A-IoT paging message</w:t>
      </w:r>
      <w:r w:rsidR="00C128BE">
        <w:rPr>
          <w:rFonts w:hint="eastAsia"/>
          <w:szCs w:val="22"/>
        </w:rPr>
        <w:t xml:space="preserve"> [1]</w:t>
      </w:r>
      <w:r>
        <w:rPr>
          <w:rFonts w:hint="eastAsia"/>
          <w:szCs w:val="22"/>
        </w:rPr>
        <w:t>.</w:t>
      </w:r>
    </w:p>
    <w:tbl>
      <w:tblPr>
        <w:tblStyle w:val="aa"/>
        <w:tblW w:w="0" w:type="auto"/>
        <w:tblInd w:w="-5" w:type="dxa"/>
        <w:tblLook w:val="04A0" w:firstRow="1" w:lastRow="0" w:firstColumn="1" w:lastColumn="0" w:noHBand="0" w:noVBand="1"/>
      </w:tblPr>
      <w:tblGrid>
        <w:gridCol w:w="9634"/>
      </w:tblGrid>
      <w:tr w:rsidR="00610994" w14:paraId="258C6AB0" w14:textId="77777777" w:rsidTr="00610994">
        <w:tc>
          <w:tcPr>
            <w:tcW w:w="9634" w:type="dxa"/>
          </w:tcPr>
          <w:p w14:paraId="451D492B" w14:textId="77777777" w:rsidR="00610994" w:rsidRPr="009E657A" w:rsidRDefault="00610994" w:rsidP="00E05FBE">
            <w:pPr>
              <w:pStyle w:val="Doc-text2"/>
              <w:ind w:left="363"/>
              <w:rPr>
                <w:b/>
                <w:bCs/>
              </w:rPr>
            </w:pPr>
            <w:r w:rsidRPr="009E657A">
              <w:rPr>
                <w:b/>
                <w:bCs/>
              </w:rPr>
              <w:t>Agreements</w:t>
            </w:r>
          </w:p>
          <w:p w14:paraId="0F8CE0DF" w14:textId="77777777" w:rsidR="00610994" w:rsidRPr="00163910" w:rsidRDefault="00610994" w:rsidP="00E05FBE">
            <w:pPr>
              <w:pStyle w:val="Doc-text2"/>
              <w:ind w:left="363"/>
            </w:pPr>
            <w:r w:rsidRPr="00163910">
              <w:t>1</w:t>
            </w:r>
            <w:r w:rsidRPr="00163910">
              <w:tab/>
            </w:r>
            <w:r>
              <w:t>RAN2 will study the following cases for AIoT paging message:</w:t>
            </w:r>
          </w:p>
          <w:p w14:paraId="2A9B9438" w14:textId="77777777" w:rsidR="00610994" w:rsidRDefault="00610994" w:rsidP="00610994">
            <w:pPr>
              <w:pStyle w:val="Doc-text2"/>
              <w:numPr>
                <w:ilvl w:val="0"/>
                <w:numId w:val="11"/>
              </w:numPr>
              <w:overflowPunct/>
              <w:autoSpaceDE/>
              <w:autoSpaceDN/>
              <w:adjustRightInd/>
              <w:ind w:left="720"/>
              <w:textAlignment w:val="auto"/>
            </w:pPr>
            <w:r w:rsidRPr="009E657A">
              <w:t>a message</w:t>
            </w:r>
            <w:r w:rsidRPr="00163910">
              <w:t xml:space="preserve"> containing an ID of a single A-IoT device.  </w:t>
            </w:r>
          </w:p>
          <w:p w14:paraId="2D91ED94" w14:textId="77777777" w:rsidR="00610994" w:rsidRPr="00387A86" w:rsidRDefault="00610994" w:rsidP="00610994">
            <w:pPr>
              <w:pStyle w:val="Doc-text2"/>
              <w:numPr>
                <w:ilvl w:val="0"/>
                <w:numId w:val="11"/>
              </w:numPr>
              <w:overflowPunct/>
              <w:autoSpaceDE/>
              <w:autoSpaceDN/>
              <w:adjustRightInd/>
              <w:ind w:left="720"/>
              <w:textAlignment w:val="auto"/>
            </w:pPr>
            <w:r w:rsidRPr="00387A86">
              <w:t xml:space="preserve">a message containing a group ID that maps to multiple A-IoT devices. </w:t>
            </w:r>
          </w:p>
          <w:p w14:paraId="52541A4F" w14:textId="77777777" w:rsidR="00610994" w:rsidRDefault="00610994" w:rsidP="00610994">
            <w:pPr>
              <w:pStyle w:val="Doc-text2"/>
              <w:numPr>
                <w:ilvl w:val="0"/>
                <w:numId w:val="11"/>
              </w:numPr>
              <w:overflowPunct/>
              <w:autoSpaceDE/>
              <w:autoSpaceDN/>
              <w:adjustRightInd/>
              <w:ind w:left="720"/>
              <w:textAlignment w:val="auto"/>
            </w:pPr>
            <w:r w:rsidRPr="00387A86">
              <w:t xml:space="preserve">a message that does not contain an ID, i.e., </w:t>
            </w:r>
            <w:r>
              <w:t xml:space="preserve">addressed </w:t>
            </w:r>
            <w:r w:rsidRPr="00387A86">
              <w:t>for all devices that can receive the AIoT message.</w:t>
            </w:r>
          </w:p>
          <w:p w14:paraId="7F8236D7" w14:textId="77777777" w:rsidR="00610994" w:rsidRPr="00387A86" w:rsidRDefault="00610994" w:rsidP="00610994">
            <w:pPr>
              <w:pStyle w:val="Doc-text2"/>
              <w:numPr>
                <w:ilvl w:val="0"/>
                <w:numId w:val="11"/>
              </w:numPr>
              <w:overflowPunct/>
              <w:autoSpaceDE/>
              <w:autoSpaceDN/>
              <w:adjustRightInd/>
              <w:ind w:left="720"/>
              <w:textAlignment w:val="auto"/>
            </w:pPr>
            <w:r w:rsidRPr="00387A86">
              <w:t>a message containing multiple IDs of A-IoT devices.</w:t>
            </w:r>
            <w:r>
              <w:t xml:space="preserve"> Need to confirm the need for this use case based on SA2 discussion.</w:t>
            </w:r>
          </w:p>
          <w:p w14:paraId="417ED6C2" w14:textId="77777777" w:rsidR="00610994" w:rsidRDefault="00610994" w:rsidP="00E05FBE">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3A01A5AC" w14:textId="77777777" w:rsidR="00610994" w:rsidRDefault="00610994" w:rsidP="00E05FBE">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E426E41" w14:textId="7EFA052A" w:rsidR="00610994" w:rsidRDefault="00610994" w:rsidP="00610994">
            <w:pPr>
              <w:pStyle w:val="Doc-text2"/>
              <w:ind w:left="363"/>
              <w:rPr>
                <w:b/>
                <w:bCs/>
              </w:rPr>
            </w:pPr>
            <w:r>
              <w:t>3</w:t>
            </w:r>
            <w:r>
              <w:tab/>
              <w:t xml:space="preserve">From RAN2 perspective, we assume the device can receive as long as there is enough energy.  We will wait for RAN1 further progress on device monitoring details. </w:t>
            </w:r>
          </w:p>
        </w:tc>
      </w:tr>
    </w:tbl>
    <w:p w14:paraId="3BA5630A" w14:textId="592B9DA4" w:rsidR="00610994" w:rsidRDefault="00610994" w:rsidP="007E2FC8">
      <w:pPr>
        <w:rPr>
          <w:szCs w:val="22"/>
        </w:rPr>
      </w:pPr>
      <w:r>
        <w:rPr>
          <w:rFonts w:hint="eastAsia"/>
          <w:szCs w:val="22"/>
        </w:rPr>
        <w:t>This contribution is to discuss remaining aspects in terms of A-IoT paging message.</w:t>
      </w:r>
    </w:p>
    <w:p w14:paraId="1DE0D552" w14:textId="77777777" w:rsidR="00610994" w:rsidRPr="00262F8E" w:rsidRDefault="00610994" w:rsidP="007E2FC8">
      <w:pPr>
        <w:rPr>
          <w:szCs w:val="22"/>
        </w:rPr>
      </w:pPr>
    </w:p>
    <w:p w14:paraId="375CDE38" w14:textId="77777777" w:rsidR="007E2FC8" w:rsidRDefault="007E2FC8" w:rsidP="007E2FC8">
      <w:pPr>
        <w:pStyle w:val="2"/>
        <w:numPr>
          <w:ilvl w:val="0"/>
          <w:numId w:val="2"/>
        </w:numPr>
      </w:pPr>
      <w:r>
        <w:rPr>
          <w:rFonts w:hint="eastAsia"/>
        </w:rPr>
        <w:t>Discussion</w:t>
      </w:r>
    </w:p>
    <w:p w14:paraId="1A2AE8FC" w14:textId="77777777" w:rsidR="001531E0" w:rsidRDefault="001531E0" w:rsidP="001531E0">
      <w:pPr>
        <w:pStyle w:val="2"/>
        <w:numPr>
          <w:ilvl w:val="1"/>
          <w:numId w:val="2"/>
        </w:numPr>
        <w:rPr>
          <w:rFonts w:cs="Arial"/>
        </w:rPr>
      </w:pPr>
      <w:r>
        <w:rPr>
          <w:rFonts w:cs="Arial"/>
        </w:rPr>
        <w:t>“</w:t>
      </w:r>
      <w:r>
        <w:rPr>
          <w:rFonts w:cs="Arial" w:hint="eastAsia"/>
        </w:rPr>
        <w:t>Command only</w:t>
      </w:r>
      <w:r>
        <w:rPr>
          <w:rFonts w:cs="Arial"/>
        </w:rPr>
        <w:t>”</w:t>
      </w:r>
      <w:r>
        <w:rPr>
          <w:rFonts w:cs="Arial" w:hint="eastAsia"/>
        </w:rPr>
        <w:t xml:space="preserve"> use case</w:t>
      </w:r>
    </w:p>
    <w:p w14:paraId="7B38D19A" w14:textId="26C90DCF" w:rsidR="001531E0" w:rsidRDefault="001531E0" w:rsidP="001531E0">
      <w:r>
        <w:rPr>
          <w:rFonts w:hint="eastAsia"/>
        </w:rPr>
        <w:t xml:space="preserve">RAN2 agreed to study </w:t>
      </w:r>
      <w:r>
        <w:t>“</w:t>
      </w:r>
      <w:r>
        <w:rPr>
          <w:rFonts w:hint="eastAsia"/>
        </w:rPr>
        <w:t>Command only</w:t>
      </w:r>
      <w:r>
        <w:t>”</w:t>
      </w:r>
      <w:r>
        <w:rPr>
          <w:rFonts w:hint="eastAsia"/>
        </w:rPr>
        <w:t xml:space="preserve"> use case where the command is included in the A-IoT paging message</w:t>
      </w:r>
      <w:r w:rsidR="00C128BE">
        <w:rPr>
          <w:rFonts w:hint="eastAsia"/>
        </w:rPr>
        <w:t xml:space="preserve"> [1]</w:t>
      </w:r>
      <w:r>
        <w:rPr>
          <w:rFonts w:hint="eastAsia"/>
        </w:rPr>
        <w:t>.</w:t>
      </w:r>
    </w:p>
    <w:tbl>
      <w:tblPr>
        <w:tblStyle w:val="aa"/>
        <w:tblW w:w="0" w:type="auto"/>
        <w:tblInd w:w="865" w:type="dxa"/>
        <w:tblLook w:val="04A0" w:firstRow="1" w:lastRow="0" w:firstColumn="1" w:lastColumn="0" w:noHBand="0" w:noVBand="1"/>
      </w:tblPr>
      <w:tblGrid>
        <w:gridCol w:w="8572"/>
      </w:tblGrid>
      <w:tr w:rsidR="001531E0" w14:paraId="2E65C7F0" w14:textId="77777777" w:rsidTr="00E05FBE">
        <w:tc>
          <w:tcPr>
            <w:tcW w:w="8572" w:type="dxa"/>
          </w:tcPr>
          <w:p w14:paraId="4DCDFAC7" w14:textId="77777777" w:rsidR="001531E0" w:rsidRPr="00EC119D" w:rsidRDefault="001531E0" w:rsidP="00E05FBE">
            <w:pPr>
              <w:pStyle w:val="Doc-text2"/>
              <w:ind w:left="363"/>
              <w:rPr>
                <w:b/>
                <w:bCs/>
              </w:rPr>
            </w:pPr>
            <w:r w:rsidRPr="00EC119D">
              <w:rPr>
                <w:b/>
                <w:bCs/>
              </w:rPr>
              <w:t xml:space="preserve">Agreements </w:t>
            </w:r>
          </w:p>
          <w:p w14:paraId="721A8B9E" w14:textId="77777777" w:rsidR="001531E0" w:rsidRPr="000B609E" w:rsidRDefault="001531E0" w:rsidP="00E05FBE">
            <w:pPr>
              <w:pStyle w:val="Doc-text2"/>
              <w:ind w:left="363"/>
              <w:rPr>
                <w:rFonts w:eastAsiaTheme="minorEastAsia"/>
              </w:rPr>
            </w:pPr>
            <w:r>
              <w:rPr>
                <w:rFonts w:eastAsiaTheme="minorEastAsia" w:hint="eastAsia"/>
              </w:rPr>
              <w:t>(omit)</w:t>
            </w:r>
          </w:p>
          <w:p w14:paraId="7F6B18BE" w14:textId="77777777" w:rsidR="001531E0" w:rsidRDefault="001531E0" w:rsidP="00E05FBE">
            <w:pPr>
              <w:pStyle w:val="Doc-text2"/>
              <w:ind w:left="363"/>
            </w:pPr>
            <w:r>
              <w:t>3</w:t>
            </w:r>
            <w:r>
              <w:tab/>
              <w:t>From RAN2 point of view we will study “Command only” use case.</w:t>
            </w:r>
          </w:p>
          <w:p w14:paraId="4AA1240A" w14:textId="77777777" w:rsidR="001531E0" w:rsidRDefault="001531E0" w:rsidP="00E05FBE">
            <w:pPr>
              <w:pStyle w:val="Doc-text2"/>
              <w:ind w:left="726"/>
              <w:rPr>
                <w:rFonts w:eastAsiaTheme="minorEastAsia"/>
              </w:rPr>
            </w:pPr>
            <w:r>
              <w:rPr>
                <w:rFonts w:eastAsiaTheme="minorEastAsia"/>
              </w:rPr>
              <w:t>FFS the options on how to support it :</w:t>
            </w:r>
          </w:p>
          <w:p w14:paraId="22F06695" w14:textId="77777777" w:rsidR="001531E0" w:rsidRDefault="001531E0" w:rsidP="00E05FBE">
            <w:pPr>
              <w:pStyle w:val="Doc-text2"/>
              <w:ind w:left="726"/>
              <w:rPr>
                <w:rFonts w:eastAsiaTheme="minorEastAsia"/>
              </w:rPr>
            </w:pPr>
            <w:r>
              <w:rPr>
                <w:rFonts w:eastAsiaTheme="minorEastAsia"/>
              </w:rPr>
              <w:tab/>
              <w:t xml:space="preserve">Initial trigger message from the reader contains the command. </w:t>
            </w:r>
            <w:r>
              <w:t>Final feasibility depends on SA2 and SA3 work/conclusions.</w:t>
            </w:r>
          </w:p>
          <w:p w14:paraId="7B9C1886" w14:textId="77777777" w:rsidR="001531E0" w:rsidRDefault="001531E0" w:rsidP="00E05FBE">
            <w:pPr>
              <w:pStyle w:val="Doc-text2"/>
              <w:ind w:left="726"/>
            </w:pPr>
            <w:r>
              <w:rPr>
                <w:rFonts w:eastAsiaTheme="minorEastAsia"/>
              </w:rPr>
              <w:tab/>
              <w:t>Use baseline procedure for “inventory and command”(i.e. first triggers inventory procedure and then sends command)</w:t>
            </w:r>
          </w:p>
        </w:tc>
      </w:tr>
    </w:tbl>
    <w:p w14:paraId="11B41463" w14:textId="691C547B" w:rsidR="001531E0" w:rsidRDefault="00C128BE" w:rsidP="001531E0">
      <w:r>
        <w:rPr>
          <w:rFonts w:hint="eastAsia"/>
        </w:rPr>
        <w:t>The command message is generated in the CN and delivered in upper layer. From AS perspective, the command message is regarded as upper layer data.</w:t>
      </w:r>
    </w:p>
    <w:p w14:paraId="3913AF78" w14:textId="4BCC0AD4" w:rsidR="00C128BE" w:rsidRDefault="00C128BE" w:rsidP="001531E0">
      <w:r>
        <w:rPr>
          <w:rFonts w:hint="eastAsia"/>
        </w:rPr>
        <w:t>We would like to note that we are asking SA2 and SA3 whether to introduce security protection in upper layer in the LS [2].</w:t>
      </w:r>
      <w:r w:rsidR="009D663C">
        <w:rPr>
          <w:rFonts w:hint="eastAsia"/>
        </w:rPr>
        <w:t xml:space="preserve"> RAN2 is still waiting for the reply but we think we could assume the presence of upper layer security considering that the upper layer messages can contain data important for secure operation, e.g., command to control Ambient IoT devices or Device ID to track devices.</w:t>
      </w:r>
    </w:p>
    <w:p w14:paraId="447ED768" w14:textId="1F13740E" w:rsidR="001531E0" w:rsidRDefault="009E5153" w:rsidP="001531E0">
      <w:r>
        <w:rPr>
          <w:rFonts w:hint="eastAsia"/>
        </w:rPr>
        <w:t>As legacy, the security protection is an end-to-end protection. In other words, two terminated nodes share a security key which is hidden to any other nodes to enable encrypt/integrity protection and decrypt/integrity checking only in the terminated nodes.</w:t>
      </w:r>
      <w:r w:rsidR="00911A8A">
        <w:rPr>
          <w:rFonts w:hint="eastAsia"/>
        </w:rPr>
        <w:t xml:space="preserve"> If the security protection in upper layer is </w:t>
      </w:r>
      <w:r w:rsidR="00911A8A">
        <w:rPr>
          <w:rFonts w:hint="eastAsia"/>
        </w:rPr>
        <w:lastRenderedPageBreak/>
        <w:t xml:space="preserve">supported in the same way, as </w:t>
      </w:r>
      <w:r w:rsidR="001F35D2">
        <w:rPr>
          <w:rFonts w:hint="eastAsia"/>
        </w:rPr>
        <w:t>shown</w:t>
      </w:r>
      <w:r w:rsidR="00911A8A">
        <w:rPr>
          <w:rFonts w:hint="eastAsia"/>
        </w:rPr>
        <w:t xml:space="preserve"> in Figure 1, </w:t>
      </w:r>
      <w:r w:rsidR="001F35D2">
        <w:rPr>
          <w:rFonts w:hint="eastAsia"/>
        </w:rPr>
        <w:t>the command message sent in A-IoT paging message can be decoded by only one device.</w:t>
      </w:r>
    </w:p>
    <w:p w14:paraId="4D22DAFA" w14:textId="33249F13" w:rsidR="00911A8A" w:rsidRDefault="00911A8A" w:rsidP="001531E0">
      <w:r>
        <w:rPr>
          <w:noProof/>
        </w:rPr>
        <w:drawing>
          <wp:inline distT="0" distB="0" distL="0" distR="0" wp14:anchorId="302DAB97" wp14:editId="789D6A68">
            <wp:extent cx="6087110" cy="3063915"/>
            <wp:effectExtent l="0" t="0" r="0" b="0"/>
            <wp:docPr id="4455233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44" cy="3068412"/>
                    </a:xfrm>
                    <a:prstGeom prst="rect">
                      <a:avLst/>
                    </a:prstGeom>
                    <a:noFill/>
                    <a:ln>
                      <a:noFill/>
                    </a:ln>
                  </pic:spPr>
                </pic:pic>
              </a:graphicData>
            </a:graphic>
          </wp:inline>
        </w:drawing>
      </w:r>
    </w:p>
    <w:p w14:paraId="3236DF9C" w14:textId="16D6A509" w:rsidR="00911A8A" w:rsidRPr="001F35D2" w:rsidRDefault="001F35D2" w:rsidP="001F35D2">
      <w:pPr>
        <w:jc w:val="center"/>
        <w:rPr>
          <w:b/>
          <w:bCs/>
        </w:rPr>
      </w:pPr>
      <w:r w:rsidRPr="001F35D2">
        <w:rPr>
          <w:rFonts w:hint="eastAsia"/>
          <w:b/>
          <w:bCs/>
        </w:rPr>
        <w:t xml:space="preserve">Figure 1. </w:t>
      </w:r>
      <w:r>
        <w:rPr>
          <w:rFonts w:hint="eastAsia"/>
          <w:b/>
          <w:bCs/>
        </w:rPr>
        <w:t>U</w:t>
      </w:r>
      <w:r w:rsidRPr="001F35D2">
        <w:rPr>
          <w:rFonts w:hint="eastAsia"/>
          <w:b/>
          <w:bCs/>
        </w:rPr>
        <w:t xml:space="preserve">pper layer </w:t>
      </w:r>
      <w:r>
        <w:rPr>
          <w:rFonts w:hint="eastAsia"/>
          <w:b/>
          <w:bCs/>
        </w:rPr>
        <w:t>security</w:t>
      </w:r>
      <w:r w:rsidRPr="001F35D2">
        <w:rPr>
          <w:rFonts w:hint="eastAsia"/>
          <w:b/>
          <w:bCs/>
        </w:rPr>
        <w:t xml:space="preserve"> </w:t>
      </w:r>
      <w:r>
        <w:rPr>
          <w:rFonts w:hint="eastAsia"/>
          <w:b/>
          <w:bCs/>
        </w:rPr>
        <w:t xml:space="preserve">and </w:t>
      </w:r>
      <w:r w:rsidRPr="001F35D2">
        <w:rPr>
          <w:rFonts w:hint="eastAsia"/>
          <w:b/>
          <w:bCs/>
        </w:rPr>
        <w:t>A-IoT paging message with command</w:t>
      </w:r>
    </w:p>
    <w:p w14:paraId="166C18FA" w14:textId="70AB2E18" w:rsidR="001F35D2" w:rsidRDefault="001F35D2" w:rsidP="001531E0">
      <w:r>
        <w:rPr>
          <w:rFonts w:hint="eastAsia"/>
        </w:rPr>
        <w:t xml:space="preserve">Therefore, we propose to assume that the </w:t>
      </w:r>
      <w:r>
        <w:t>“</w:t>
      </w:r>
      <w:r>
        <w:rPr>
          <w:rFonts w:hint="eastAsia"/>
        </w:rPr>
        <w:t>Command only</w:t>
      </w:r>
      <w:r>
        <w:t>”</w:t>
      </w:r>
      <w:r>
        <w:rPr>
          <w:rFonts w:hint="eastAsia"/>
        </w:rPr>
        <w:t xml:space="preserve"> use case is only when one device is targeted by A-IoT aging message. We are still waiting for SA2/SA3 reply, thus it is open to revisit taking their answers into account after receiving </w:t>
      </w:r>
      <w:r w:rsidR="00C51FB1">
        <w:rPr>
          <w:rFonts w:hint="eastAsia"/>
        </w:rPr>
        <w:t>replies.</w:t>
      </w:r>
    </w:p>
    <w:p w14:paraId="511A8886" w14:textId="043D0193" w:rsidR="001531E0" w:rsidRDefault="001531E0" w:rsidP="001531E0">
      <w:pPr>
        <w:pStyle w:val="ObservationandProposal"/>
      </w:pPr>
      <w:r>
        <w:rPr>
          <w:rFonts w:hint="eastAsia"/>
        </w:rPr>
        <w:t>Observation 1.</w:t>
      </w:r>
      <w:r>
        <w:tab/>
      </w:r>
      <w:r>
        <w:rPr>
          <w:rFonts w:hint="eastAsia"/>
        </w:rPr>
        <w:t>Given that security protection is supported in upper layer, upper layer data for a command message provided in an A-IoT paging message cannot be decoded by more than one Ambient IoT devices since the upper layer security is E2E protection.</w:t>
      </w:r>
    </w:p>
    <w:p w14:paraId="01F44B0F" w14:textId="2D1FCF14" w:rsidR="001531E0" w:rsidRPr="00F2584E" w:rsidRDefault="001531E0" w:rsidP="001531E0">
      <w:pPr>
        <w:pStyle w:val="ObservationandProposal"/>
      </w:pPr>
      <w:r>
        <w:rPr>
          <w:rFonts w:hint="eastAsia"/>
        </w:rPr>
        <w:t>Proposal 1.</w:t>
      </w:r>
      <w:r>
        <w:tab/>
      </w:r>
      <w:r>
        <w:rPr>
          <w:rFonts w:hint="eastAsia"/>
        </w:rPr>
        <w:t xml:space="preserve">RAN2 assume that only one device can be targeted in A-IoT paging message in </w:t>
      </w:r>
      <w:r>
        <w:t>“</w:t>
      </w:r>
      <w:r>
        <w:rPr>
          <w:rFonts w:hint="eastAsia"/>
        </w:rPr>
        <w:t>Command only</w:t>
      </w:r>
      <w:r>
        <w:t>”</w:t>
      </w:r>
      <w:r>
        <w:rPr>
          <w:rFonts w:hint="eastAsia"/>
        </w:rPr>
        <w:t xml:space="preserve"> </w:t>
      </w:r>
      <w:r w:rsidR="001F35D2">
        <w:rPr>
          <w:rFonts w:hint="eastAsia"/>
        </w:rPr>
        <w:t>use case</w:t>
      </w:r>
      <w:r>
        <w:rPr>
          <w:rFonts w:hint="eastAsia"/>
        </w:rPr>
        <w:t xml:space="preserve">. RAN2 can revisit based on </w:t>
      </w:r>
      <w:r w:rsidR="00C128BE">
        <w:rPr>
          <w:rFonts w:hint="eastAsia"/>
        </w:rPr>
        <w:t>SA2/</w:t>
      </w:r>
      <w:r>
        <w:rPr>
          <w:rFonts w:hint="eastAsia"/>
        </w:rPr>
        <w:t>SA3 conclusion.</w:t>
      </w:r>
    </w:p>
    <w:p w14:paraId="1EF78EB8" w14:textId="77777777" w:rsidR="001531E0" w:rsidRPr="001531E0" w:rsidRDefault="001531E0" w:rsidP="001531E0"/>
    <w:p w14:paraId="0FB44700" w14:textId="734EAA1F" w:rsidR="00E87002" w:rsidRPr="001062FB" w:rsidRDefault="00E87002" w:rsidP="00E87002">
      <w:pPr>
        <w:pStyle w:val="2"/>
        <w:numPr>
          <w:ilvl w:val="1"/>
          <w:numId w:val="2"/>
        </w:numPr>
        <w:rPr>
          <w:rFonts w:cs="Arial"/>
        </w:rPr>
      </w:pPr>
      <w:r w:rsidRPr="001062FB">
        <w:rPr>
          <w:rFonts w:cs="Arial" w:hint="eastAsia"/>
        </w:rPr>
        <w:t xml:space="preserve">Multi-reader </w:t>
      </w:r>
      <w:r>
        <w:rPr>
          <w:rFonts w:cs="Arial" w:hint="eastAsia"/>
        </w:rPr>
        <w:t>paging</w:t>
      </w:r>
    </w:p>
    <w:p w14:paraId="352485D9" w14:textId="1D2BFBF2" w:rsidR="00187186" w:rsidRDefault="00187186" w:rsidP="00187186">
      <w:r>
        <w:t xml:space="preserve">Given the scenario where multiple Ambient IoT Readers are physically located close to one another, e.g., indoor deployment scenario, it is possible that one Ambient IoT Device is in a coverage area to receive </w:t>
      </w:r>
      <w:r w:rsidR="00D26FF9">
        <w:rPr>
          <w:rFonts w:hint="eastAsia"/>
        </w:rPr>
        <w:t>A-IoT paging messages</w:t>
      </w:r>
      <w:r>
        <w:t xml:space="preserve"> from multiple Ambient IoT Readers.</w:t>
      </w:r>
    </w:p>
    <w:p w14:paraId="1D7C1CD6" w14:textId="2B1363C3" w:rsidR="00187186" w:rsidRDefault="00187186" w:rsidP="00187186">
      <w:r>
        <w:rPr>
          <w:rFonts w:hint="eastAsia"/>
        </w:rPr>
        <w:t>I</w:t>
      </w:r>
      <w:r>
        <w:t xml:space="preserve">n the case above, if the CN indicates multiple </w:t>
      </w:r>
      <w:r>
        <w:rPr>
          <w:rFonts w:hint="eastAsia"/>
        </w:rPr>
        <w:t>r</w:t>
      </w:r>
      <w:r>
        <w:t>eaders to send an</w:t>
      </w:r>
      <w:r>
        <w:rPr>
          <w:rFonts w:hint="eastAsia"/>
        </w:rPr>
        <w:t xml:space="preserve"> A-IoT paging m</w:t>
      </w:r>
      <w:r>
        <w:t>essage</w:t>
      </w:r>
      <w:r>
        <w:rPr>
          <w:rFonts w:hint="eastAsia"/>
        </w:rPr>
        <w:t xml:space="preserve"> targeting the device or </w:t>
      </w:r>
      <w:r>
        <w:t>targeting</w:t>
      </w:r>
      <w:r>
        <w:rPr>
          <w:rFonts w:hint="eastAsia"/>
        </w:rPr>
        <w:t xml:space="preserve"> any device,</w:t>
      </w:r>
      <w:r>
        <w:t xml:space="preserve"> the </w:t>
      </w:r>
      <w:r>
        <w:rPr>
          <w:rFonts w:hint="eastAsia"/>
        </w:rPr>
        <w:t>d</w:t>
      </w:r>
      <w:r>
        <w:t xml:space="preserve">evice will receive multiple </w:t>
      </w:r>
      <w:r>
        <w:rPr>
          <w:rFonts w:hint="eastAsia"/>
        </w:rPr>
        <w:t>A-IoT paging m</w:t>
      </w:r>
      <w:r>
        <w:t xml:space="preserve">essages from multiple </w:t>
      </w:r>
      <w:r>
        <w:rPr>
          <w:rFonts w:hint="eastAsia"/>
        </w:rPr>
        <w:t>r</w:t>
      </w:r>
      <w:r>
        <w:t>eaders.</w:t>
      </w:r>
      <w:r>
        <w:rPr>
          <w:rFonts w:hint="eastAsia"/>
        </w:rPr>
        <w:t xml:space="preserve"> </w:t>
      </w:r>
      <w:r>
        <w:t xml:space="preserve">Then, as depicted in Figure </w:t>
      </w:r>
      <w:r w:rsidR="00911A8A">
        <w:rPr>
          <w:rFonts w:hint="eastAsia"/>
        </w:rPr>
        <w:t>2</w:t>
      </w:r>
      <w:r>
        <w:t xml:space="preserve">, the </w:t>
      </w:r>
      <w:r>
        <w:rPr>
          <w:rFonts w:hint="eastAsia"/>
        </w:rPr>
        <w:t>d</w:t>
      </w:r>
      <w:r>
        <w:t xml:space="preserve">evice will send </w:t>
      </w:r>
      <w:bookmarkStart w:id="0" w:name="_Hlk174050373"/>
      <w:r>
        <w:rPr>
          <w:rFonts w:hint="eastAsia"/>
        </w:rPr>
        <w:t>A-IoT</w:t>
      </w:r>
      <w:bookmarkEnd w:id="0"/>
      <w:r>
        <w:rPr>
          <w:rFonts w:hint="eastAsia"/>
        </w:rPr>
        <w:t xml:space="preserve"> Msg1 for the same time as received A-IoT paging messages</w:t>
      </w:r>
      <w:r>
        <w:t xml:space="preserve">. In </w:t>
      </w:r>
      <w:r>
        <w:rPr>
          <w:rFonts w:hint="eastAsia"/>
        </w:rPr>
        <w:t>other words</w:t>
      </w:r>
      <w:r>
        <w:t xml:space="preserve">, the number of </w:t>
      </w:r>
      <w:r w:rsidR="00EA7C7E">
        <w:rPr>
          <w:rFonts w:hint="eastAsia"/>
        </w:rPr>
        <w:t xml:space="preserve">A-IoT </w:t>
      </w:r>
      <w:r>
        <w:rPr>
          <w:rFonts w:hint="eastAsia"/>
        </w:rPr>
        <w:t xml:space="preserve">Msg1 </w:t>
      </w:r>
      <w:r>
        <w:t xml:space="preserve">from one </w:t>
      </w:r>
      <w:r>
        <w:rPr>
          <w:rFonts w:hint="eastAsia"/>
        </w:rPr>
        <w:t>d</w:t>
      </w:r>
      <w:r>
        <w:t xml:space="preserve">evice is multiplied by the number of nearby </w:t>
      </w:r>
      <w:r>
        <w:rPr>
          <w:rFonts w:hint="eastAsia"/>
        </w:rPr>
        <w:t>r</w:t>
      </w:r>
      <w:r>
        <w:t>eaders.</w:t>
      </w:r>
    </w:p>
    <w:p w14:paraId="3D6B023A" w14:textId="43EBF6BC" w:rsidR="00187186" w:rsidRDefault="00B97C54" w:rsidP="00187186">
      <w:r>
        <w:rPr>
          <w:noProof/>
        </w:rPr>
        <w:lastRenderedPageBreak/>
        <w:drawing>
          <wp:inline distT="0" distB="0" distL="0" distR="0" wp14:anchorId="26E9C2AA" wp14:editId="5ED2469E">
            <wp:extent cx="6120765" cy="1915795"/>
            <wp:effectExtent l="0" t="0" r="0" b="8255"/>
            <wp:docPr id="190379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15795"/>
                    </a:xfrm>
                    <a:prstGeom prst="rect">
                      <a:avLst/>
                    </a:prstGeom>
                    <a:noFill/>
                    <a:ln>
                      <a:noFill/>
                    </a:ln>
                  </pic:spPr>
                </pic:pic>
              </a:graphicData>
            </a:graphic>
          </wp:inline>
        </w:drawing>
      </w:r>
    </w:p>
    <w:p w14:paraId="4D4145A8" w14:textId="307A85BB" w:rsidR="00187186" w:rsidRPr="00574F29" w:rsidRDefault="00187186" w:rsidP="00187186">
      <w:pPr>
        <w:jc w:val="center"/>
        <w:rPr>
          <w:b/>
          <w:bCs/>
        </w:rPr>
      </w:pPr>
      <w:r w:rsidRPr="00574F29">
        <w:rPr>
          <w:rFonts w:hint="eastAsia"/>
          <w:b/>
          <w:bCs/>
        </w:rPr>
        <w:t>F</w:t>
      </w:r>
      <w:r w:rsidRPr="00574F29">
        <w:rPr>
          <w:b/>
          <w:bCs/>
        </w:rPr>
        <w:t xml:space="preserve">igure </w:t>
      </w:r>
      <w:r w:rsidR="00911A8A">
        <w:rPr>
          <w:rFonts w:hint="eastAsia"/>
          <w:b/>
          <w:bCs/>
        </w:rPr>
        <w:t>2</w:t>
      </w:r>
      <w:r w:rsidRPr="00574F29">
        <w:rPr>
          <w:b/>
          <w:bCs/>
        </w:rPr>
        <w:t xml:space="preserve">. Device sends </w:t>
      </w:r>
      <w:r w:rsidR="00EA7C7E" w:rsidRPr="00EA7C7E">
        <w:rPr>
          <w:rFonts w:hint="eastAsia"/>
          <w:b/>
          <w:bCs/>
        </w:rPr>
        <w:t>A-IoT</w:t>
      </w:r>
      <w:r w:rsidR="00EA7C7E">
        <w:rPr>
          <w:rFonts w:hint="eastAsia"/>
          <w:b/>
          <w:bCs/>
        </w:rPr>
        <w:t xml:space="preserve"> Msg1</w:t>
      </w:r>
      <w:r w:rsidRPr="00574F29">
        <w:rPr>
          <w:b/>
          <w:bCs/>
        </w:rPr>
        <w:t xml:space="preserve"> </w:t>
      </w:r>
      <w:r w:rsidR="00EA7C7E">
        <w:rPr>
          <w:rFonts w:hint="eastAsia"/>
          <w:b/>
          <w:bCs/>
        </w:rPr>
        <w:t>for</w:t>
      </w:r>
      <w:r w:rsidRPr="00574F29">
        <w:rPr>
          <w:b/>
          <w:bCs/>
        </w:rPr>
        <w:t xml:space="preserve"> the number of </w:t>
      </w:r>
      <w:r w:rsidR="00EA7C7E">
        <w:rPr>
          <w:rFonts w:hint="eastAsia"/>
          <w:b/>
          <w:bCs/>
        </w:rPr>
        <w:t>r</w:t>
      </w:r>
      <w:r w:rsidRPr="00574F29">
        <w:rPr>
          <w:b/>
          <w:bCs/>
        </w:rPr>
        <w:t>eaders nearby.</w:t>
      </w:r>
    </w:p>
    <w:p w14:paraId="5C1A2F06" w14:textId="3D9E0B4F" w:rsidR="00187186" w:rsidRDefault="00187186" w:rsidP="00187186">
      <w:r>
        <w:t xml:space="preserve">On top of that there should be other devices that send </w:t>
      </w:r>
      <w:r w:rsidR="00EA7C7E">
        <w:rPr>
          <w:rFonts w:hint="eastAsia"/>
        </w:rPr>
        <w:t xml:space="preserve">A-IoT </w:t>
      </w:r>
      <w:r w:rsidR="006430FE">
        <w:rPr>
          <w:rFonts w:hint="eastAsia"/>
        </w:rPr>
        <w:t>Msg1</w:t>
      </w:r>
      <w:r>
        <w:t xml:space="preserve"> for multiple times for the same reason. Therefore, the possibility to occur contention increases when </w:t>
      </w:r>
      <w:r w:rsidR="006430FE">
        <w:rPr>
          <w:rFonts w:hint="eastAsia"/>
        </w:rPr>
        <w:t>r</w:t>
      </w:r>
      <w:r>
        <w:t>eaders are densely deployed.</w:t>
      </w:r>
    </w:p>
    <w:p w14:paraId="738ACFB8" w14:textId="33420B2E" w:rsidR="00187186" w:rsidRPr="00485A0F" w:rsidRDefault="00187186" w:rsidP="00187186">
      <w:pPr>
        <w:pStyle w:val="ObservationandProposal"/>
      </w:pPr>
      <w:r>
        <w:rPr>
          <w:rFonts w:hint="eastAsia"/>
        </w:rPr>
        <w:t>O</w:t>
      </w:r>
      <w:r>
        <w:t xml:space="preserve">bservation </w:t>
      </w:r>
      <w:r w:rsidR="001531E0">
        <w:rPr>
          <w:rFonts w:hint="eastAsia"/>
        </w:rPr>
        <w:t>2</w:t>
      </w:r>
      <w:r>
        <w:t>.</w:t>
      </w:r>
      <w:r>
        <w:tab/>
        <w:t xml:space="preserve">Ambient IoT </w:t>
      </w:r>
      <w:r w:rsidR="00AF1F19">
        <w:rPr>
          <w:rFonts w:hint="eastAsia"/>
        </w:rPr>
        <w:t>d</w:t>
      </w:r>
      <w:r>
        <w:t xml:space="preserve">evice will send </w:t>
      </w:r>
      <w:r w:rsidR="00EA7C7E">
        <w:rPr>
          <w:rFonts w:hint="eastAsia"/>
        </w:rPr>
        <w:t xml:space="preserve">A-IoT </w:t>
      </w:r>
      <w:r w:rsidR="00AF1F19">
        <w:rPr>
          <w:rFonts w:hint="eastAsia"/>
        </w:rPr>
        <w:t xml:space="preserve">Msg1 for </w:t>
      </w:r>
      <w:r w:rsidR="00CB4503">
        <w:rPr>
          <w:rFonts w:hint="eastAsia"/>
        </w:rPr>
        <w:t>times of the</w:t>
      </w:r>
      <w:r>
        <w:t xml:space="preserve"> number of nearby Ambient IoT </w:t>
      </w:r>
      <w:r w:rsidR="00CB4503">
        <w:rPr>
          <w:rFonts w:hint="eastAsia"/>
        </w:rPr>
        <w:t>r</w:t>
      </w:r>
      <w:r>
        <w:t>eaders, which increases possibility of contention.</w:t>
      </w:r>
    </w:p>
    <w:p w14:paraId="2F4FBE2E" w14:textId="4608B590" w:rsidR="00187186" w:rsidRDefault="00187186" w:rsidP="00187186">
      <w:pPr>
        <w:rPr>
          <w:szCs w:val="22"/>
        </w:rPr>
      </w:pPr>
      <w:r>
        <w:rPr>
          <w:rFonts w:hint="eastAsia"/>
          <w:szCs w:val="22"/>
        </w:rPr>
        <w:t>T</w:t>
      </w:r>
      <w:r>
        <w:rPr>
          <w:szCs w:val="22"/>
        </w:rPr>
        <w:t>his issue can be resolved by introducing Paging ID</w:t>
      </w:r>
      <w:r w:rsidR="00CB4503">
        <w:rPr>
          <w:rFonts w:hint="eastAsia"/>
          <w:szCs w:val="22"/>
        </w:rPr>
        <w:t>, which is identical for one attempt of paging from the CN,</w:t>
      </w:r>
      <w:r>
        <w:rPr>
          <w:szCs w:val="22"/>
        </w:rPr>
        <w:t xml:space="preserve"> in the </w:t>
      </w:r>
      <w:r w:rsidR="00CB4503">
        <w:rPr>
          <w:rFonts w:hint="eastAsia"/>
          <w:szCs w:val="22"/>
        </w:rPr>
        <w:t>A-IoT paging message</w:t>
      </w:r>
      <w:r>
        <w:rPr>
          <w:szCs w:val="22"/>
        </w:rPr>
        <w:t xml:space="preserve">. The CN indicates the same Paging ID to </w:t>
      </w:r>
      <w:r w:rsidR="00CB4503">
        <w:rPr>
          <w:rFonts w:hint="eastAsia"/>
          <w:szCs w:val="22"/>
        </w:rPr>
        <w:t>r</w:t>
      </w:r>
      <w:r>
        <w:rPr>
          <w:szCs w:val="22"/>
        </w:rPr>
        <w:t xml:space="preserve">eaders for one attempt. Then, as depicted in Figure </w:t>
      </w:r>
      <w:r w:rsidR="00911A8A">
        <w:rPr>
          <w:rFonts w:hint="eastAsia"/>
          <w:szCs w:val="22"/>
        </w:rPr>
        <w:t>3</w:t>
      </w:r>
      <w:r>
        <w:rPr>
          <w:szCs w:val="22"/>
        </w:rPr>
        <w:t xml:space="preserve">, the </w:t>
      </w:r>
      <w:r w:rsidR="00CB4503">
        <w:rPr>
          <w:rFonts w:hint="eastAsia"/>
          <w:szCs w:val="22"/>
        </w:rPr>
        <w:t>r</w:t>
      </w:r>
      <w:r>
        <w:rPr>
          <w:szCs w:val="22"/>
        </w:rPr>
        <w:t xml:space="preserve">eaders transmit </w:t>
      </w:r>
      <w:r w:rsidR="00CB4503">
        <w:rPr>
          <w:rFonts w:hint="eastAsia"/>
          <w:szCs w:val="22"/>
        </w:rPr>
        <w:t>A-IoT paging messages</w:t>
      </w:r>
      <w:r>
        <w:rPr>
          <w:szCs w:val="22"/>
        </w:rPr>
        <w:t xml:space="preserve"> attached with the same Paging ID. The Device can discard </w:t>
      </w:r>
      <w:r w:rsidR="00CB4503">
        <w:rPr>
          <w:rFonts w:hint="eastAsia"/>
          <w:szCs w:val="22"/>
        </w:rPr>
        <w:t>A-IoT paging message</w:t>
      </w:r>
      <w:r>
        <w:rPr>
          <w:szCs w:val="22"/>
        </w:rPr>
        <w:t xml:space="preserve">s with </w:t>
      </w:r>
      <w:r w:rsidR="00CB4503">
        <w:rPr>
          <w:rFonts w:hint="eastAsia"/>
          <w:szCs w:val="22"/>
        </w:rPr>
        <w:t xml:space="preserve">the </w:t>
      </w:r>
      <w:r>
        <w:rPr>
          <w:szCs w:val="22"/>
        </w:rPr>
        <w:t xml:space="preserve">Paging ID already received to avoid </w:t>
      </w:r>
      <w:r w:rsidR="00CB4503">
        <w:rPr>
          <w:szCs w:val="22"/>
        </w:rPr>
        <w:t>unnecessary</w:t>
      </w:r>
      <w:r w:rsidR="00CB4503">
        <w:rPr>
          <w:rFonts w:hint="eastAsia"/>
          <w:szCs w:val="22"/>
        </w:rPr>
        <w:t xml:space="preserve"> </w:t>
      </w:r>
      <w:r>
        <w:rPr>
          <w:szCs w:val="22"/>
        </w:rPr>
        <w:t>transmission of</w:t>
      </w:r>
      <w:r w:rsidR="00EA7C7E" w:rsidRPr="00EA7C7E">
        <w:rPr>
          <w:rFonts w:hint="eastAsia"/>
        </w:rPr>
        <w:t xml:space="preserve"> </w:t>
      </w:r>
      <w:r w:rsidR="00EA7C7E">
        <w:rPr>
          <w:rFonts w:hint="eastAsia"/>
        </w:rPr>
        <w:t>A-IoT</w:t>
      </w:r>
      <w:r>
        <w:rPr>
          <w:szCs w:val="22"/>
        </w:rPr>
        <w:t xml:space="preserve"> </w:t>
      </w:r>
      <w:r w:rsidR="00CB4503">
        <w:rPr>
          <w:rFonts w:hint="eastAsia"/>
          <w:szCs w:val="22"/>
        </w:rPr>
        <w:t>Msg1</w:t>
      </w:r>
      <w:r>
        <w:rPr>
          <w:szCs w:val="22"/>
        </w:rPr>
        <w:t>.</w:t>
      </w:r>
    </w:p>
    <w:p w14:paraId="213FB9C3" w14:textId="47E7E380" w:rsidR="00187186" w:rsidRDefault="00B97C54" w:rsidP="00187186">
      <w:pPr>
        <w:rPr>
          <w:szCs w:val="22"/>
        </w:rPr>
      </w:pPr>
      <w:r>
        <w:rPr>
          <w:noProof/>
          <w:szCs w:val="22"/>
        </w:rPr>
        <w:drawing>
          <wp:inline distT="0" distB="0" distL="0" distR="0" wp14:anchorId="0EA683D9" wp14:editId="35A2F6EE">
            <wp:extent cx="6120765" cy="1931670"/>
            <wp:effectExtent l="0" t="0" r="0" b="0"/>
            <wp:docPr id="1358937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31670"/>
                    </a:xfrm>
                    <a:prstGeom prst="rect">
                      <a:avLst/>
                    </a:prstGeom>
                    <a:noFill/>
                    <a:ln>
                      <a:noFill/>
                    </a:ln>
                  </pic:spPr>
                </pic:pic>
              </a:graphicData>
            </a:graphic>
          </wp:inline>
        </w:drawing>
      </w:r>
    </w:p>
    <w:p w14:paraId="24C63985" w14:textId="096B10D1" w:rsidR="00187186" w:rsidRPr="00004CE9" w:rsidRDefault="00187186" w:rsidP="00187186">
      <w:pPr>
        <w:jc w:val="center"/>
        <w:rPr>
          <w:b/>
          <w:bCs/>
          <w:szCs w:val="22"/>
        </w:rPr>
      </w:pPr>
      <w:r w:rsidRPr="00004CE9">
        <w:rPr>
          <w:rFonts w:hint="eastAsia"/>
          <w:b/>
          <w:bCs/>
          <w:szCs w:val="22"/>
        </w:rPr>
        <w:t>F</w:t>
      </w:r>
      <w:r w:rsidRPr="00004CE9">
        <w:rPr>
          <w:b/>
          <w:bCs/>
          <w:szCs w:val="22"/>
        </w:rPr>
        <w:t xml:space="preserve">igure </w:t>
      </w:r>
      <w:r w:rsidR="00911A8A">
        <w:rPr>
          <w:rFonts w:hint="eastAsia"/>
          <w:b/>
          <w:bCs/>
          <w:szCs w:val="22"/>
        </w:rPr>
        <w:t>3</w:t>
      </w:r>
      <w:r w:rsidRPr="00004CE9">
        <w:rPr>
          <w:b/>
          <w:bCs/>
          <w:szCs w:val="22"/>
        </w:rPr>
        <w:t>. Paging ID enables to avoid</w:t>
      </w:r>
      <w:r w:rsidR="00EA7C7E">
        <w:rPr>
          <w:rFonts w:hint="eastAsia"/>
          <w:b/>
          <w:bCs/>
          <w:szCs w:val="22"/>
        </w:rPr>
        <w:t xml:space="preserve"> unnecessary</w:t>
      </w:r>
      <w:r w:rsidRPr="00004CE9">
        <w:rPr>
          <w:b/>
          <w:bCs/>
          <w:szCs w:val="22"/>
        </w:rPr>
        <w:t xml:space="preserve"> transmission of </w:t>
      </w:r>
      <w:r w:rsidR="00EA7C7E" w:rsidRPr="00EA7C7E">
        <w:rPr>
          <w:rFonts w:hint="eastAsia"/>
          <w:b/>
          <w:bCs/>
          <w:szCs w:val="22"/>
        </w:rPr>
        <w:t xml:space="preserve">A-IoT </w:t>
      </w:r>
      <w:r w:rsidR="00EA7C7E">
        <w:rPr>
          <w:rFonts w:hint="eastAsia"/>
          <w:b/>
          <w:bCs/>
          <w:szCs w:val="22"/>
        </w:rPr>
        <w:t>Msg1</w:t>
      </w:r>
      <w:r>
        <w:rPr>
          <w:b/>
          <w:bCs/>
          <w:szCs w:val="22"/>
        </w:rPr>
        <w:t>.</w:t>
      </w:r>
    </w:p>
    <w:p w14:paraId="63996853" w14:textId="144AE99B" w:rsidR="00187186" w:rsidRDefault="00187186" w:rsidP="00187186">
      <w:pPr>
        <w:pStyle w:val="ObservationandProposal"/>
      </w:pPr>
      <w:r>
        <w:rPr>
          <w:rFonts w:hint="eastAsia"/>
        </w:rPr>
        <w:t>O</w:t>
      </w:r>
      <w:r>
        <w:t xml:space="preserve">bservation </w:t>
      </w:r>
      <w:r w:rsidR="001531E0">
        <w:rPr>
          <w:rFonts w:hint="eastAsia"/>
        </w:rPr>
        <w:t>3</w:t>
      </w:r>
      <w:r>
        <w:t>.</w:t>
      </w:r>
      <w:r>
        <w:tab/>
        <w:t xml:space="preserve">Duplicated transmission of </w:t>
      </w:r>
      <w:r w:rsidR="00EA7C7E">
        <w:rPr>
          <w:rFonts w:hint="eastAsia"/>
        </w:rPr>
        <w:t>A-IoT Msg1</w:t>
      </w:r>
      <w:r>
        <w:t xml:space="preserve"> can be avoided via discarding </w:t>
      </w:r>
      <w:r w:rsidR="00EA7C7E">
        <w:rPr>
          <w:rFonts w:hint="eastAsia"/>
        </w:rPr>
        <w:t>A-IoT</w:t>
      </w:r>
      <w:r w:rsidR="00EA7C7E">
        <w:t xml:space="preserve"> </w:t>
      </w:r>
      <w:r w:rsidR="00EA7C7E">
        <w:rPr>
          <w:rFonts w:hint="eastAsia"/>
        </w:rPr>
        <w:t>paging messages</w:t>
      </w:r>
      <w:r>
        <w:t xml:space="preserve"> </w:t>
      </w:r>
      <w:r w:rsidR="00EA7C7E">
        <w:rPr>
          <w:rFonts w:hint="eastAsia"/>
        </w:rPr>
        <w:t xml:space="preserve">attached </w:t>
      </w:r>
      <w:r>
        <w:t>with the same Paging ID.</w:t>
      </w:r>
    </w:p>
    <w:p w14:paraId="0F441D29" w14:textId="6263E1DC" w:rsidR="00187186" w:rsidRDefault="00187186" w:rsidP="00187186">
      <w:pPr>
        <w:pStyle w:val="ObservationandProposal"/>
      </w:pPr>
      <w:r>
        <w:rPr>
          <w:rFonts w:hint="eastAsia"/>
        </w:rPr>
        <w:t>P</w:t>
      </w:r>
      <w:r>
        <w:t xml:space="preserve">roposal </w:t>
      </w:r>
      <w:r w:rsidR="001531E0">
        <w:rPr>
          <w:rFonts w:hint="eastAsia"/>
        </w:rPr>
        <w:t>2</w:t>
      </w:r>
      <w:r>
        <w:t>.</w:t>
      </w:r>
      <w:r>
        <w:tab/>
        <w:t xml:space="preserve">Introduce Paging ID to be attached to the </w:t>
      </w:r>
      <w:r w:rsidR="00EA7C7E">
        <w:rPr>
          <w:rFonts w:hint="eastAsia"/>
        </w:rPr>
        <w:t>A-IoT</w:t>
      </w:r>
      <w:r w:rsidR="00EA7C7E">
        <w:t xml:space="preserve"> </w:t>
      </w:r>
      <w:r w:rsidR="00EA7C7E">
        <w:rPr>
          <w:rFonts w:hint="eastAsia"/>
        </w:rPr>
        <w:t>paging messag</w:t>
      </w:r>
      <w:r>
        <w:t>e.</w:t>
      </w:r>
      <w:r>
        <w:rPr>
          <w:rFonts w:hint="eastAsia"/>
        </w:rPr>
        <w:t xml:space="preserve"> </w:t>
      </w:r>
      <w:r>
        <w:t xml:space="preserve">Ambient IoT </w:t>
      </w:r>
      <w:r w:rsidR="00EA7C7E">
        <w:rPr>
          <w:rFonts w:hint="eastAsia"/>
        </w:rPr>
        <w:t>d</w:t>
      </w:r>
      <w:r>
        <w:t xml:space="preserve">evices have to respond only once to </w:t>
      </w:r>
      <w:r w:rsidR="00EA7C7E">
        <w:rPr>
          <w:rFonts w:hint="eastAsia"/>
        </w:rPr>
        <w:t>A-IoT paging messages</w:t>
      </w:r>
      <w:r>
        <w:t xml:space="preserve"> with the same Paging ID.</w:t>
      </w:r>
    </w:p>
    <w:p w14:paraId="431F5BAD" w14:textId="77777777" w:rsidR="00187186" w:rsidRDefault="00187186" w:rsidP="00187186">
      <w:pPr>
        <w:rPr>
          <w:szCs w:val="22"/>
        </w:rPr>
      </w:pPr>
    </w:p>
    <w:p w14:paraId="250CD504" w14:textId="74533AF1" w:rsidR="00187186" w:rsidRDefault="00187186" w:rsidP="00187186">
      <w:pPr>
        <w:rPr>
          <w:szCs w:val="22"/>
        </w:rPr>
      </w:pPr>
      <w:r>
        <w:rPr>
          <w:szCs w:val="22"/>
        </w:rPr>
        <w:t xml:space="preserve">If we introduce Paging ID described above, the Device will send preamble message only once. However, given the scenario where the </w:t>
      </w:r>
      <w:r w:rsidR="00EA7C7E">
        <w:rPr>
          <w:rFonts w:hint="eastAsia"/>
          <w:szCs w:val="22"/>
        </w:rPr>
        <w:t>r</w:t>
      </w:r>
      <w:r>
        <w:rPr>
          <w:szCs w:val="22"/>
        </w:rPr>
        <w:t xml:space="preserve">eaders are densely deployed, </w:t>
      </w:r>
      <w:r w:rsidR="00EA7C7E">
        <w:rPr>
          <w:rFonts w:hint="eastAsia"/>
          <w:szCs w:val="22"/>
        </w:rPr>
        <w:t>A-IoT Msg1</w:t>
      </w:r>
      <w:r>
        <w:rPr>
          <w:szCs w:val="22"/>
        </w:rPr>
        <w:t xml:space="preserve"> sent by a </w:t>
      </w:r>
      <w:r w:rsidR="00EA7C7E">
        <w:rPr>
          <w:rFonts w:hint="eastAsia"/>
          <w:szCs w:val="22"/>
        </w:rPr>
        <w:t>d</w:t>
      </w:r>
      <w:r>
        <w:rPr>
          <w:szCs w:val="22"/>
        </w:rPr>
        <w:t xml:space="preserve">evice can be received by multiple </w:t>
      </w:r>
      <w:r w:rsidR="00EA7C7E">
        <w:rPr>
          <w:rFonts w:hint="eastAsia"/>
          <w:szCs w:val="22"/>
        </w:rPr>
        <w:t>r</w:t>
      </w:r>
      <w:r>
        <w:rPr>
          <w:szCs w:val="22"/>
        </w:rPr>
        <w:t>eaders.</w:t>
      </w:r>
      <w:r>
        <w:rPr>
          <w:rFonts w:hint="eastAsia"/>
          <w:szCs w:val="22"/>
        </w:rPr>
        <w:t xml:space="preserve"> </w:t>
      </w:r>
      <w:r>
        <w:rPr>
          <w:szCs w:val="22"/>
        </w:rPr>
        <w:t xml:space="preserve">Then, if no contention occurs, the </w:t>
      </w:r>
      <w:r w:rsidR="00EA7C7E">
        <w:rPr>
          <w:rFonts w:hint="eastAsia"/>
          <w:szCs w:val="22"/>
        </w:rPr>
        <w:t>d</w:t>
      </w:r>
      <w:r>
        <w:rPr>
          <w:szCs w:val="22"/>
        </w:rPr>
        <w:t xml:space="preserve">evice successfully completes </w:t>
      </w:r>
      <w:r w:rsidR="00EA7C7E">
        <w:rPr>
          <w:rFonts w:hint="eastAsia"/>
          <w:szCs w:val="22"/>
        </w:rPr>
        <w:t xml:space="preserve">A-IoT </w:t>
      </w:r>
      <w:r>
        <w:rPr>
          <w:szCs w:val="22"/>
        </w:rPr>
        <w:t xml:space="preserve">random access procedure to multiple </w:t>
      </w:r>
      <w:r w:rsidR="00EA7C7E">
        <w:rPr>
          <w:rFonts w:hint="eastAsia"/>
          <w:szCs w:val="22"/>
        </w:rPr>
        <w:t>r</w:t>
      </w:r>
      <w:r>
        <w:rPr>
          <w:szCs w:val="22"/>
        </w:rPr>
        <w:t xml:space="preserve">eaders, and the </w:t>
      </w:r>
      <w:r w:rsidR="00EA7C7E">
        <w:rPr>
          <w:rFonts w:hint="eastAsia"/>
          <w:szCs w:val="22"/>
        </w:rPr>
        <w:t>d</w:t>
      </w:r>
      <w:r>
        <w:rPr>
          <w:szCs w:val="22"/>
        </w:rPr>
        <w:t>evice start</w:t>
      </w:r>
      <w:r w:rsidR="00EA7C7E">
        <w:rPr>
          <w:rFonts w:hint="eastAsia"/>
          <w:szCs w:val="22"/>
        </w:rPr>
        <w:t>s</w:t>
      </w:r>
      <w:r>
        <w:rPr>
          <w:szCs w:val="22"/>
        </w:rPr>
        <w:t xml:space="preserve"> transmission of </w:t>
      </w:r>
      <w:r w:rsidR="00EA7C7E">
        <w:rPr>
          <w:rFonts w:hint="eastAsia"/>
          <w:szCs w:val="22"/>
        </w:rPr>
        <w:t>upper layer data</w:t>
      </w:r>
      <w:r>
        <w:rPr>
          <w:szCs w:val="22"/>
        </w:rPr>
        <w:t xml:space="preserve"> to the CN</w:t>
      </w:r>
      <w:r w:rsidR="00EA7C7E">
        <w:rPr>
          <w:rFonts w:hint="eastAsia"/>
          <w:szCs w:val="22"/>
        </w:rPr>
        <w:t xml:space="preserve"> via multiple readers</w:t>
      </w:r>
      <w:r>
        <w:rPr>
          <w:szCs w:val="22"/>
        </w:rPr>
        <w:t>.</w:t>
      </w:r>
    </w:p>
    <w:p w14:paraId="7854B3C5" w14:textId="320EE1F0" w:rsidR="00187186" w:rsidRDefault="00187186" w:rsidP="00187186">
      <w:pPr>
        <w:rPr>
          <w:szCs w:val="22"/>
        </w:rPr>
      </w:pPr>
      <w:r>
        <w:rPr>
          <w:szCs w:val="22"/>
        </w:rPr>
        <w:t xml:space="preserve">We would like to note that the </w:t>
      </w:r>
      <w:r w:rsidR="00EA7C7E">
        <w:rPr>
          <w:rFonts w:hint="eastAsia"/>
          <w:szCs w:val="22"/>
        </w:rPr>
        <w:t>upper layer data is</w:t>
      </w:r>
      <w:r>
        <w:rPr>
          <w:szCs w:val="22"/>
        </w:rPr>
        <w:t xml:space="preserve"> exchanged between the Ambient IoT </w:t>
      </w:r>
      <w:r w:rsidR="00EA7C7E">
        <w:rPr>
          <w:rFonts w:hint="eastAsia"/>
          <w:szCs w:val="22"/>
        </w:rPr>
        <w:t>d</w:t>
      </w:r>
      <w:r>
        <w:rPr>
          <w:szCs w:val="22"/>
        </w:rPr>
        <w:t xml:space="preserve">evice and the CN, and the Ambient IoT </w:t>
      </w:r>
      <w:r w:rsidR="00EA7C7E">
        <w:rPr>
          <w:rFonts w:hint="eastAsia"/>
          <w:szCs w:val="22"/>
        </w:rPr>
        <w:t>r</w:t>
      </w:r>
      <w:r>
        <w:rPr>
          <w:szCs w:val="22"/>
        </w:rPr>
        <w:t xml:space="preserve">eader has nothing to do with the NAS message. </w:t>
      </w:r>
      <w:r w:rsidR="00EA7C7E">
        <w:rPr>
          <w:rFonts w:hint="eastAsia"/>
          <w:szCs w:val="22"/>
        </w:rPr>
        <w:t>Therefore</w:t>
      </w:r>
      <w:r>
        <w:rPr>
          <w:szCs w:val="22"/>
        </w:rPr>
        <w:t xml:space="preserve">, the duplicated paths for </w:t>
      </w:r>
      <w:r w:rsidR="00EA7C7E">
        <w:rPr>
          <w:rFonts w:hint="eastAsia"/>
          <w:szCs w:val="22"/>
        </w:rPr>
        <w:t>upper layer data</w:t>
      </w:r>
      <w:r>
        <w:rPr>
          <w:szCs w:val="22"/>
        </w:rPr>
        <w:t xml:space="preserve"> are not necessary but </w:t>
      </w:r>
      <w:r w:rsidR="00EA7C7E">
        <w:rPr>
          <w:rFonts w:hint="eastAsia"/>
          <w:szCs w:val="22"/>
        </w:rPr>
        <w:t xml:space="preserve">result in </w:t>
      </w:r>
      <w:r>
        <w:rPr>
          <w:szCs w:val="22"/>
        </w:rPr>
        <w:t xml:space="preserve">waste of radio resources for </w:t>
      </w:r>
      <w:r w:rsidR="00EA7C7E">
        <w:rPr>
          <w:rFonts w:hint="eastAsia"/>
          <w:szCs w:val="22"/>
        </w:rPr>
        <w:t>r</w:t>
      </w:r>
      <w:r>
        <w:rPr>
          <w:szCs w:val="22"/>
        </w:rPr>
        <w:t>eaders.</w:t>
      </w:r>
    </w:p>
    <w:p w14:paraId="64818B0B" w14:textId="26744875" w:rsidR="00187186" w:rsidRDefault="00187186" w:rsidP="00187186">
      <w:pPr>
        <w:pStyle w:val="ObservationandProposal"/>
      </w:pPr>
      <w:r>
        <w:rPr>
          <w:rFonts w:hint="eastAsia"/>
        </w:rPr>
        <w:lastRenderedPageBreak/>
        <w:t>O</w:t>
      </w:r>
      <w:r>
        <w:t xml:space="preserve">bservation </w:t>
      </w:r>
      <w:r w:rsidR="001531E0">
        <w:rPr>
          <w:rFonts w:hint="eastAsia"/>
        </w:rPr>
        <w:t>4</w:t>
      </w:r>
      <w:r>
        <w:t>.</w:t>
      </w:r>
      <w:r>
        <w:tab/>
        <w:t xml:space="preserve">Reception of </w:t>
      </w:r>
      <w:r w:rsidR="00EA7C7E">
        <w:rPr>
          <w:rFonts w:hint="eastAsia"/>
        </w:rPr>
        <w:t>A-IoT Msg1</w:t>
      </w:r>
      <w:r>
        <w:t xml:space="preserve"> by multiple </w:t>
      </w:r>
      <w:r w:rsidR="00EA7C7E">
        <w:rPr>
          <w:rFonts w:hint="eastAsia"/>
        </w:rPr>
        <w:t>r</w:t>
      </w:r>
      <w:r>
        <w:t xml:space="preserve">eaders can result in duplicated </w:t>
      </w:r>
      <w:r w:rsidR="009C4B39">
        <w:rPr>
          <w:rFonts w:hint="eastAsia"/>
        </w:rPr>
        <w:t>upper layer data paths</w:t>
      </w:r>
      <w:r>
        <w:t xml:space="preserve"> which are not necessary but waste of radio resources for Readers.</w:t>
      </w:r>
    </w:p>
    <w:p w14:paraId="58C01636" w14:textId="118A02FD" w:rsidR="00187186" w:rsidRDefault="00187186" w:rsidP="00187186">
      <w:pPr>
        <w:rPr>
          <w:szCs w:val="22"/>
        </w:rPr>
      </w:pPr>
      <w:r>
        <w:rPr>
          <w:rFonts w:hint="eastAsia"/>
          <w:szCs w:val="22"/>
        </w:rPr>
        <w:t>T</w:t>
      </w:r>
      <w:r>
        <w:rPr>
          <w:szCs w:val="22"/>
        </w:rPr>
        <w:t xml:space="preserve">his issue can be resolved by introducing Reader ID for each Ambient IoT </w:t>
      </w:r>
      <w:r w:rsidR="009C4B39">
        <w:rPr>
          <w:rFonts w:hint="eastAsia"/>
          <w:szCs w:val="22"/>
        </w:rPr>
        <w:t>r</w:t>
      </w:r>
      <w:r>
        <w:rPr>
          <w:szCs w:val="22"/>
        </w:rPr>
        <w:t xml:space="preserve">eader. As depicted in Figure </w:t>
      </w:r>
      <w:r w:rsidR="00911A8A">
        <w:rPr>
          <w:rFonts w:hint="eastAsia"/>
          <w:szCs w:val="22"/>
        </w:rPr>
        <w:t>4</w:t>
      </w:r>
      <w:r>
        <w:rPr>
          <w:szCs w:val="22"/>
        </w:rPr>
        <w:t>, the CN configures Reader ID</w:t>
      </w:r>
      <w:r w:rsidR="00D67E04">
        <w:rPr>
          <w:rFonts w:hint="eastAsia"/>
          <w:szCs w:val="22"/>
        </w:rPr>
        <w:t xml:space="preserve"> (permanent or temporary)</w:t>
      </w:r>
      <w:r>
        <w:rPr>
          <w:szCs w:val="22"/>
        </w:rPr>
        <w:t xml:space="preserve">, and the Reader attaches its Reader ID in every </w:t>
      </w:r>
      <w:r w:rsidR="00B97C54">
        <w:rPr>
          <w:rFonts w:hint="eastAsia"/>
          <w:szCs w:val="22"/>
        </w:rPr>
        <w:t>A-IoT paging message</w:t>
      </w:r>
      <w:r>
        <w:rPr>
          <w:szCs w:val="22"/>
        </w:rPr>
        <w:t xml:space="preserve">. The Device can send preamble message including Reader ID to report which Reader it is responding to. </w:t>
      </w:r>
      <w:r w:rsidR="00B97C54">
        <w:rPr>
          <w:rFonts w:hint="eastAsia"/>
          <w:szCs w:val="22"/>
        </w:rPr>
        <w:t xml:space="preserve">If </w:t>
      </w:r>
      <w:r>
        <w:rPr>
          <w:szCs w:val="22"/>
        </w:rPr>
        <w:t xml:space="preserve">the </w:t>
      </w:r>
      <w:r w:rsidR="00B97C54">
        <w:rPr>
          <w:rFonts w:hint="eastAsia"/>
          <w:szCs w:val="22"/>
        </w:rPr>
        <w:t>r</w:t>
      </w:r>
      <w:r>
        <w:rPr>
          <w:szCs w:val="22"/>
        </w:rPr>
        <w:t xml:space="preserve">eader configured of different Reader ID receives the </w:t>
      </w:r>
      <w:r w:rsidR="00B97C54">
        <w:rPr>
          <w:rFonts w:hint="eastAsia"/>
          <w:szCs w:val="22"/>
        </w:rPr>
        <w:t>A-IoT Msg1,</w:t>
      </w:r>
      <w:r>
        <w:rPr>
          <w:szCs w:val="22"/>
        </w:rPr>
        <w:t xml:space="preserve"> </w:t>
      </w:r>
      <w:r w:rsidR="00B97C54">
        <w:rPr>
          <w:rFonts w:hint="eastAsia"/>
          <w:szCs w:val="22"/>
        </w:rPr>
        <w:t>o</w:t>
      </w:r>
      <w:r>
        <w:rPr>
          <w:szCs w:val="22"/>
        </w:rPr>
        <w:t>ne simple way is</w:t>
      </w:r>
      <w:r w:rsidR="00B97C54">
        <w:rPr>
          <w:rFonts w:hint="eastAsia"/>
          <w:szCs w:val="22"/>
        </w:rPr>
        <w:t>,</w:t>
      </w:r>
      <w:r>
        <w:rPr>
          <w:szCs w:val="22"/>
        </w:rPr>
        <w:t xml:space="preserve"> </w:t>
      </w:r>
      <w:r w:rsidR="00B97C54">
        <w:rPr>
          <w:rFonts w:hint="eastAsia"/>
          <w:szCs w:val="22"/>
        </w:rPr>
        <w:t>it can</w:t>
      </w:r>
      <w:r>
        <w:rPr>
          <w:szCs w:val="22"/>
        </w:rPr>
        <w:t xml:space="preserve"> just discard the </w:t>
      </w:r>
      <w:r w:rsidR="00B97C54">
        <w:rPr>
          <w:rFonts w:hint="eastAsia"/>
          <w:szCs w:val="22"/>
        </w:rPr>
        <w:t>A-IoT Msg1</w:t>
      </w:r>
      <w:r>
        <w:rPr>
          <w:szCs w:val="22"/>
        </w:rPr>
        <w:t>.</w:t>
      </w:r>
    </w:p>
    <w:p w14:paraId="5C210110" w14:textId="679294A2" w:rsidR="00187186" w:rsidRDefault="00B97C54" w:rsidP="00187186">
      <w:pPr>
        <w:rPr>
          <w:szCs w:val="22"/>
        </w:rPr>
      </w:pPr>
      <w:r>
        <w:rPr>
          <w:noProof/>
          <w:szCs w:val="22"/>
        </w:rPr>
        <w:drawing>
          <wp:inline distT="0" distB="0" distL="0" distR="0" wp14:anchorId="3EA5E1E9" wp14:editId="139C205F">
            <wp:extent cx="6120765" cy="1868170"/>
            <wp:effectExtent l="0" t="0" r="0" b="0"/>
            <wp:docPr id="86017167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868170"/>
                    </a:xfrm>
                    <a:prstGeom prst="rect">
                      <a:avLst/>
                    </a:prstGeom>
                    <a:noFill/>
                    <a:ln>
                      <a:noFill/>
                    </a:ln>
                  </pic:spPr>
                </pic:pic>
              </a:graphicData>
            </a:graphic>
          </wp:inline>
        </w:drawing>
      </w:r>
    </w:p>
    <w:p w14:paraId="7932AEC8" w14:textId="4AB56E48" w:rsidR="00187186" w:rsidRPr="00004CE9" w:rsidRDefault="00187186" w:rsidP="00187186">
      <w:pPr>
        <w:jc w:val="center"/>
        <w:rPr>
          <w:b/>
          <w:bCs/>
          <w:szCs w:val="22"/>
        </w:rPr>
      </w:pPr>
      <w:r w:rsidRPr="00004CE9">
        <w:rPr>
          <w:rFonts w:hint="eastAsia"/>
          <w:b/>
          <w:bCs/>
          <w:szCs w:val="22"/>
        </w:rPr>
        <w:t>F</w:t>
      </w:r>
      <w:r w:rsidRPr="00004CE9">
        <w:rPr>
          <w:b/>
          <w:bCs/>
          <w:szCs w:val="22"/>
        </w:rPr>
        <w:t xml:space="preserve">igure </w:t>
      </w:r>
      <w:r w:rsidR="00911A8A">
        <w:rPr>
          <w:rFonts w:hint="eastAsia"/>
          <w:b/>
          <w:bCs/>
          <w:szCs w:val="22"/>
        </w:rPr>
        <w:t>4</w:t>
      </w:r>
      <w:r w:rsidRPr="00004CE9">
        <w:rPr>
          <w:b/>
          <w:bCs/>
          <w:szCs w:val="22"/>
        </w:rPr>
        <w:t xml:space="preserve">. </w:t>
      </w:r>
      <w:r>
        <w:rPr>
          <w:b/>
          <w:bCs/>
          <w:szCs w:val="22"/>
        </w:rPr>
        <w:t>Reader</w:t>
      </w:r>
      <w:r w:rsidRPr="00004CE9">
        <w:rPr>
          <w:b/>
          <w:bCs/>
          <w:szCs w:val="22"/>
        </w:rPr>
        <w:t xml:space="preserve"> ID enables to avoid </w:t>
      </w:r>
      <w:r w:rsidR="00B97C54">
        <w:rPr>
          <w:rFonts w:hint="eastAsia"/>
          <w:b/>
          <w:bCs/>
          <w:szCs w:val="22"/>
        </w:rPr>
        <w:t>establishing unnecessary path</w:t>
      </w:r>
      <w:r>
        <w:rPr>
          <w:b/>
          <w:bCs/>
          <w:szCs w:val="22"/>
        </w:rPr>
        <w:t xml:space="preserve"> of</w:t>
      </w:r>
      <w:r w:rsidRPr="00004CE9">
        <w:rPr>
          <w:b/>
          <w:bCs/>
          <w:szCs w:val="22"/>
        </w:rPr>
        <w:t xml:space="preserve"> </w:t>
      </w:r>
      <w:r w:rsidR="00B97C54">
        <w:rPr>
          <w:rFonts w:hint="eastAsia"/>
          <w:b/>
          <w:bCs/>
          <w:szCs w:val="22"/>
        </w:rPr>
        <w:t>upper layer data</w:t>
      </w:r>
      <w:r>
        <w:rPr>
          <w:b/>
          <w:bCs/>
          <w:szCs w:val="22"/>
        </w:rPr>
        <w:t>.</w:t>
      </w:r>
    </w:p>
    <w:p w14:paraId="2868250B" w14:textId="3A2FA320" w:rsidR="00187186" w:rsidRDefault="00187186" w:rsidP="00187186">
      <w:pPr>
        <w:pStyle w:val="ObservationandProposal"/>
      </w:pPr>
      <w:r>
        <w:rPr>
          <w:rFonts w:hint="eastAsia"/>
        </w:rPr>
        <w:t>O</w:t>
      </w:r>
      <w:r>
        <w:t xml:space="preserve">bservation </w:t>
      </w:r>
      <w:r w:rsidR="001531E0">
        <w:rPr>
          <w:rFonts w:hint="eastAsia"/>
        </w:rPr>
        <w:t>5</w:t>
      </w:r>
      <w:r>
        <w:t>.</w:t>
      </w:r>
      <w:r>
        <w:tab/>
        <w:t xml:space="preserve">Ambient IoT </w:t>
      </w:r>
      <w:r w:rsidR="00B97C54">
        <w:rPr>
          <w:rFonts w:hint="eastAsia"/>
        </w:rPr>
        <w:t>r</w:t>
      </w:r>
      <w:r>
        <w:t xml:space="preserve">eader can save radio resources to allocate to </w:t>
      </w:r>
      <w:r w:rsidR="00B97C54">
        <w:rPr>
          <w:rFonts w:hint="eastAsia"/>
        </w:rPr>
        <w:t>d</w:t>
      </w:r>
      <w:r>
        <w:t xml:space="preserve">evices responding to other </w:t>
      </w:r>
      <w:r w:rsidR="00B97C54">
        <w:rPr>
          <w:rFonts w:hint="eastAsia"/>
        </w:rPr>
        <w:t>r</w:t>
      </w:r>
      <w:r>
        <w:t>eaders if Reader ID is introduced.</w:t>
      </w:r>
    </w:p>
    <w:p w14:paraId="3E61F089" w14:textId="6616255A" w:rsidR="00187186" w:rsidRDefault="00187186" w:rsidP="00187186">
      <w:pPr>
        <w:pStyle w:val="ObservationandProposal"/>
      </w:pPr>
      <w:r>
        <w:rPr>
          <w:rFonts w:hint="eastAsia"/>
        </w:rPr>
        <w:t>P</w:t>
      </w:r>
      <w:r>
        <w:t xml:space="preserve">roposal </w:t>
      </w:r>
      <w:r w:rsidR="001531E0">
        <w:rPr>
          <w:rFonts w:hint="eastAsia"/>
        </w:rPr>
        <w:t>3</w:t>
      </w:r>
      <w:r>
        <w:t>.</w:t>
      </w:r>
      <w:r>
        <w:tab/>
        <w:t xml:space="preserve">Introduce </w:t>
      </w:r>
      <w:r w:rsidR="00D67E04">
        <w:rPr>
          <w:rFonts w:hint="eastAsia"/>
        </w:rPr>
        <w:t xml:space="preserve">permanent or temporary </w:t>
      </w:r>
      <w:r>
        <w:t xml:space="preserve">Reader ID to be attached to </w:t>
      </w:r>
      <w:r w:rsidR="00D434FA">
        <w:rPr>
          <w:rFonts w:hint="eastAsia"/>
        </w:rPr>
        <w:t>A-IoT paging message</w:t>
      </w:r>
      <w:r>
        <w:t>.</w:t>
      </w:r>
      <w:r>
        <w:rPr>
          <w:rFonts w:hint="eastAsia"/>
        </w:rPr>
        <w:t xml:space="preserve"> </w:t>
      </w:r>
      <w:r>
        <w:t xml:space="preserve">Ambient IoT </w:t>
      </w:r>
      <w:r w:rsidR="00D434FA">
        <w:rPr>
          <w:rFonts w:hint="eastAsia"/>
        </w:rPr>
        <w:t>d</w:t>
      </w:r>
      <w:r>
        <w:t xml:space="preserve">evices can include a Reader ID in </w:t>
      </w:r>
      <w:r w:rsidR="00A53764">
        <w:rPr>
          <w:rFonts w:hint="eastAsia"/>
        </w:rPr>
        <w:t>A-IoT Msg1</w:t>
      </w:r>
      <w:r>
        <w:t>.</w:t>
      </w:r>
    </w:p>
    <w:p w14:paraId="3B0AB48A" w14:textId="77777777" w:rsidR="00E87002" w:rsidRPr="00E87002" w:rsidRDefault="00E87002" w:rsidP="00E87002"/>
    <w:p w14:paraId="00C5D3A1" w14:textId="5C596F59" w:rsidR="007E2FC8" w:rsidRDefault="00E87002" w:rsidP="007E2FC8">
      <w:pPr>
        <w:pStyle w:val="2"/>
        <w:numPr>
          <w:ilvl w:val="1"/>
          <w:numId w:val="2"/>
        </w:numPr>
        <w:rPr>
          <w:rFonts w:cs="Arial"/>
        </w:rPr>
      </w:pPr>
      <w:r>
        <w:rPr>
          <w:rFonts w:cs="Arial" w:hint="eastAsia"/>
        </w:rPr>
        <w:t>Other c</w:t>
      </w:r>
      <w:r w:rsidR="001062FB">
        <w:rPr>
          <w:rFonts w:cs="Arial" w:hint="eastAsia"/>
        </w:rPr>
        <w:t>ontents of A-IoT paging message</w:t>
      </w:r>
    </w:p>
    <w:p w14:paraId="0B8CE8FC" w14:textId="62A88557" w:rsidR="00C17A51" w:rsidRPr="00C17A51" w:rsidRDefault="00C17A51" w:rsidP="007E2FC8">
      <w:pPr>
        <w:rPr>
          <w:b/>
          <w:bCs/>
          <w:u w:val="single"/>
        </w:rPr>
      </w:pPr>
      <w:r w:rsidRPr="00C17A51">
        <w:rPr>
          <w:rFonts w:hint="eastAsia"/>
          <w:b/>
          <w:bCs/>
          <w:u w:val="single"/>
        </w:rPr>
        <w:t>Type of A-IoT random access procedure</w:t>
      </w:r>
    </w:p>
    <w:p w14:paraId="26E81B87" w14:textId="15EC0076" w:rsidR="00F2584E" w:rsidRDefault="00297E4A" w:rsidP="007E2FC8">
      <w:r>
        <w:rPr>
          <w:rFonts w:hint="eastAsia"/>
        </w:rPr>
        <w:t>Following agreements that RAN2</w:t>
      </w:r>
      <w:r w:rsidR="00901F67">
        <w:rPr>
          <w:rFonts w:hint="eastAsia"/>
        </w:rPr>
        <w:t xml:space="preserve"> </w:t>
      </w:r>
      <w:r w:rsidR="001B3DC5">
        <w:rPr>
          <w:rFonts w:hint="eastAsia"/>
        </w:rPr>
        <w:t>[1]</w:t>
      </w:r>
      <w:r>
        <w:rPr>
          <w:rFonts w:hint="eastAsia"/>
        </w:rPr>
        <w:t xml:space="preserve"> made in the last meeting implies that multiple schemes of A-IoT random access procedure</w:t>
      </w:r>
      <w:r w:rsidR="00901F67">
        <w:rPr>
          <w:rFonts w:hint="eastAsia"/>
        </w:rPr>
        <w:t xml:space="preserve">, 4-step RA, 2-step CBRA and contention-free </w:t>
      </w:r>
      <w:r w:rsidR="00901F67">
        <w:t>access</w:t>
      </w:r>
      <w:r w:rsidR="00901F67">
        <w:rPr>
          <w:rFonts w:hint="eastAsia"/>
        </w:rPr>
        <w:t>,</w:t>
      </w:r>
      <w:r>
        <w:rPr>
          <w:rFonts w:hint="eastAsia"/>
        </w:rPr>
        <w:t xml:space="preserve"> are studied and potentially supported.</w:t>
      </w:r>
    </w:p>
    <w:p w14:paraId="58377CFD" w14:textId="77777777" w:rsidR="00901F67" w:rsidRPr="009E29FD" w:rsidRDefault="00901F67" w:rsidP="00901F67">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on “4 step” RA</w:t>
      </w:r>
    </w:p>
    <w:p w14:paraId="63C2D524" w14:textId="77777777" w:rsidR="00901F67" w:rsidRPr="00BB4CCF" w:rsidRDefault="00901F67" w:rsidP="00901F67">
      <w:pPr>
        <w:pStyle w:val="Doc-text2"/>
        <w:pBdr>
          <w:top w:val="single" w:sz="4" w:space="1" w:color="auto"/>
          <w:left w:val="single" w:sz="4" w:space="4" w:color="auto"/>
          <w:bottom w:val="single" w:sz="4" w:space="1" w:color="auto"/>
          <w:right w:val="single" w:sz="4" w:space="4" w:color="auto"/>
        </w:pBdr>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4477C11C" w14:textId="77777777" w:rsidR="00901F67" w:rsidRPr="00FB6970" w:rsidRDefault="00901F67" w:rsidP="00901F67">
      <w:pPr>
        <w:pStyle w:val="Doc-text2"/>
        <w:pBdr>
          <w:top w:val="single" w:sz="4" w:space="1" w:color="auto"/>
          <w:left w:val="single" w:sz="4" w:space="4" w:color="auto"/>
          <w:bottom w:val="single" w:sz="4" w:space="1" w:color="auto"/>
          <w:right w:val="single" w:sz="4" w:space="4" w:color="auto"/>
        </w:pBdr>
      </w:pPr>
      <w:r w:rsidRPr="00BB4CCF">
        <w:t>2</w:t>
      </w:r>
      <w:r w:rsidRPr="00BB4CCF">
        <w:tab/>
        <w:t xml:space="preserve">A-IoT </w:t>
      </w:r>
      <w:r w:rsidRPr="00BB4CCF">
        <w:rPr>
          <w:rFonts w:hint="eastAsia"/>
        </w:rPr>
        <w:t>M</w:t>
      </w:r>
      <w:r w:rsidRPr="00BB4CCF">
        <w:t xml:space="preserve">sg2: the reader echos the ID received in Msg1. </w:t>
      </w:r>
      <w:r>
        <w:t xml:space="preserve">Further </w:t>
      </w:r>
      <w:r w:rsidRPr="00BB4CCF">
        <w:t xml:space="preserve">information </w:t>
      </w:r>
      <w:r>
        <w:t xml:space="preserve">may be </w:t>
      </w:r>
      <w:r w:rsidRPr="00BB4CCF">
        <w:t xml:space="preserve">included in </w:t>
      </w:r>
      <w:r w:rsidRPr="00FB6970">
        <w:t>mgs2 based on RAN1 agreements</w:t>
      </w:r>
    </w:p>
    <w:p w14:paraId="413832C0" w14:textId="77777777" w:rsidR="00901F67" w:rsidRPr="00FB6970" w:rsidRDefault="00901F67" w:rsidP="00901F67">
      <w:pPr>
        <w:pStyle w:val="Doc-text2"/>
        <w:pBdr>
          <w:top w:val="single" w:sz="4" w:space="1" w:color="auto"/>
          <w:left w:val="single" w:sz="4" w:space="4" w:color="auto"/>
          <w:bottom w:val="single" w:sz="4" w:space="1" w:color="auto"/>
          <w:right w:val="single" w:sz="4" w:space="4" w:color="auto"/>
        </w:pBdr>
      </w:pPr>
      <w:r w:rsidRPr="00FB6970">
        <w:t>3</w:t>
      </w:r>
      <w:r w:rsidRPr="00FB6970">
        <w:tab/>
        <w:t xml:space="preserve">A-IoT </w:t>
      </w:r>
      <w:r w:rsidRPr="00FB6970">
        <w:rPr>
          <w:rFonts w:hint="eastAsia"/>
        </w:rPr>
        <w:t>M</w:t>
      </w:r>
      <w:r w:rsidRPr="00FB6970">
        <w:t>sg3: device sends Device ID and/or any other upper layer data (depending on upper layer request)</w:t>
      </w:r>
    </w:p>
    <w:p w14:paraId="23FFD8F4" w14:textId="77777777" w:rsidR="00901F67" w:rsidRDefault="00901F67" w:rsidP="00901F67">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The device considers the contention resolution as successful, if the Msg2 including the same random ID in Msg1 is received. RAN2 assumes the size of random ID in Msg1 should be sufficient for contention resolution purpose.</w:t>
      </w:r>
    </w:p>
    <w:p w14:paraId="2932BD04" w14:textId="77777777" w:rsidR="00901F67" w:rsidRPr="005341A1" w:rsidRDefault="00901F67" w:rsidP="00901F67">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1A8A1B05" w14:textId="77777777" w:rsidR="00901F67" w:rsidRPr="00FB6970" w:rsidRDefault="00901F67" w:rsidP="00901F67">
      <w:pPr>
        <w:pStyle w:val="Doc-text2"/>
        <w:pBdr>
          <w:top w:val="single" w:sz="4" w:space="1" w:color="auto"/>
          <w:left w:val="single" w:sz="4" w:space="4" w:color="auto"/>
          <w:bottom w:val="single" w:sz="4" w:space="1" w:color="auto"/>
          <w:right w:val="single" w:sz="4" w:space="4" w:color="auto"/>
        </w:pBdr>
        <w:tabs>
          <w:tab w:val="clear" w:pos="1622"/>
        </w:tabs>
        <w:ind w:left="1619" w:firstLine="0"/>
      </w:pPr>
      <w:r w:rsidRPr="00FB6970">
        <w:t>RAN2 will not use “Msg4” term for further discussion of the random access.</w:t>
      </w:r>
    </w:p>
    <w:p w14:paraId="3F3B5D1E" w14:textId="77777777" w:rsidR="00901F67" w:rsidRDefault="00901F67" w:rsidP="00901F67">
      <w:pPr>
        <w:pStyle w:val="Doc-text2"/>
      </w:pPr>
    </w:p>
    <w:p w14:paraId="63701A9E" w14:textId="77777777" w:rsidR="00901F67" w:rsidRPr="00FB6970" w:rsidRDefault="00901F67" w:rsidP="00901F67">
      <w:pPr>
        <w:pStyle w:val="Doc-text2"/>
        <w:pBdr>
          <w:top w:val="single" w:sz="4" w:space="1" w:color="auto"/>
          <w:left w:val="single" w:sz="4" w:space="4" w:color="auto"/>
          <w:bottom w:val="single" w:sz="4" w:space="1" w:color="auto"/>
          <w:right w:val="single" w:sz="4" w:space="4" w:color="auto"/>
        </w:pBdr>
        <w:rPr>
          <w:b/>
          <w:bCs/>
        </w:rPr>
      </w:pPr>
      <w:r w:rsidRPr="00FB6970">
        <w:rPr>
          <w:b/>
          <w:bCs/>
        </w:rPr>
        <w:t xml:space="preserve">Agreements on 2 step </w:t>
      </w:r>
      <w:r>
        <w:rPr>
          <w:b/>
          <w:bCs/>
        </w:rPr>
        <w:t xml:space="preserve">CB </w:t>
      </w:r>
      <w:r w:rsidRPr="00FB6970">
        <w:rPr>
          <w:b/>
          <w:bCs/>
        </w:rPr>
        <w:t>RA</w:t>
      </w:r>
    </w:p>
    <w:p w14:paraId="5EBA0D9E" w14:textId="77777777" w:rsidR="00901F67" w:rsidRDefault="00901F67" w:rsidP="00901F67">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22A947A8" w14:textId="77777777" w:rsidR="00901F67" w:rsidRPr="00586D59" w:rsidRDefault="00901F67" w:rsidP="00901F67">
      <w:pPr>
        <w:pStyle w:val="ab"/>
        <w:numPr>
          <w:ilvl w:val="0"/>
          <w:numId w:val="8"/>
        </w:numPr>
        <w:pBdr>
          <w:top w:val="single" w:sz="4" w:space="1" w:color="auto"/>
          <w:left w:val="single" w:sz="4" w:space="4" w:color="auto"/>
          <w:bottom w:val="single" w:sz="4" w:space="1" w:color="auto"/>
          <w:right w:val="single" w:sz="4" w:space="4" w:color="auto"/>
        </w:pBdr>
        <w:spacing w:after="0"/>
        <w:ind w:leftChars="0"/>
        <w:rPr>
          <w:rFonts w:eastAsia="ＭＳ 明朝"/>
          <w:sz w:val="20"/>
          <w:szCs w:val="24"/>
        </w:rPr>
      </w:pPr>
      <w:r w:rsidRPr="00586D59">
        <w:rPr>
          <w:rFonts w:eastAsia="ＭＳ 明朝"/>
          <w:sz w:val="20"/>
          <w:szCs w:val="24"/>
        </w:rPr>
        <w:lastRenderedPageBreak/>
        <w:t>A-IoT Msg2: the reader</w:t>
      </w:r>
      <w:r>
        <w:rPr>
          <w:rFonts w:eastAsia="ＭＳ 明朝"/>
          <w:sz w:val="20"/>
          <w:szCs w:val="24"/>
        </w:rPr>
        <w:t xml:space="preserve"> may </w:t>
      </w:r>
      <w:r w:rsidRPr="00586D59">
        <w:rPr>
          <w:rFonts w:eastAsia="ＭＳ 明朝"/>
          <w:sz w:val="20"/>
          <w:szCs w:val="24"/>
        </w:rPr>
        <w:t xml:space="preserve">echo </w:t>
      </w:r>
      <w:r>
        <w:rPr>
          <w:rFonts w:eastAsia="ＭＳ 明朝"/>
          <w:sz w:val="20"/>
          <w:szCs w:val="24"/>
        </w:rPr>
        <w:t xml:space="preserve">some information from </w:t>
      </w:r>
      <w:r w:rsidRPr="00586D59">
        <w:rPr>
          <w:rFonts w:eastAsia="ＭＳ 明朝"/>
          <w:sz w:val="20"/>
          <w:szCs w:val="24"/>
        </w:rPr>
        <w:t>Msg1</w:t>
      </w:r>
      <w:r>
        <w:rPr>
          <w:rFonts w:eastAsia="ＭＳ 明朝"/>
          <w:sz w:val="20"/>
          <w:szCs w:val="24"/>
        </w:rPr>
        <w:t>.  FFS what some information is</w:t>
      </w:r>
      <w:r w:rsidRPr="00586D59">
        <w:rPr>
          <w:rFonts w:eastAsia="ＭＳ 明朝"/>
          <w:sz w:val="20"/>
          <w:szCs w:val="24"/>
        </w:rPr>
        <w:t xml:space="preserve">. </w:t>
      </w:r>
      <w:r>
        <w:rPr>
          <w:rFonts w:eastAsia="ＭＳ 明朝"/>
          <w:sz w:val="20"/>
          <w:szCs w:val="24"/>
        </w:rPr>
        <w:t xml:space="preserve"> </w:t>
      </w:r>
      <w:r w:rsidRPr="00FB6970">
        <w:t>“Msg</w:t>
      </w:r>
      <w:r>
        <w:t>2</w:t>
      </w:r>
      <w:r w:rsidRPr="00FB6970">
        <w:t>” usage/presence can be further discussed</w:t>
      </w:r>
    </w:p>
    <w:p w14:paraId="532EC907" w14:textId="77777777" w:rsidR="00901F67" w:rsidRDefault="00901F67" w:rsidP="00901F67">
      <w:pPr>
        <w:pStyle w:val="Doc-text2"/>
      </w:pPr>
    </w:p>
    <w:p w14:paraId="44E2F8F2" w14:textId="77777777" w:rsidR="00901F67" w:rsidRPr="00B345C8" w:rsidRDefault="00901F67" w:rsidP="00901F67">
      <w:pPr>
        <w:pStyle w:val="Doc-text2"/>
        <w:pBdr>
          <w:top w:val="single" w:sz="4" w:space="1" w:color="auto"/>
          <w:left w:val="single" w:sz="4" w:space="4" w:color="auto"/>
          <w:bottom w:val="single" w:sz="4" w:space="1" w:color="auto"/>
          <w:right w:val="single" w:sz="4" w:space="4" w:color="auto"/>
        </w:pBdr>
        <w:rPr>
          <w:b/>
          <w:bCs/>
        </w:rPr>
      </w:pPr>
      <w:r w:rsidRPr="00B345C8">
        <w:rPr>
          <w:b/>
          <w:bCs/>
        </w:rPr>
        <w:t>Agreement</w:t>
      </w:r>
    </w:p>
    <w:p w14:paraId="527528DD" w14:textId="77777777" w:rsidR="00901F67" w:rsidRDefault="00901F67" w:rsidP="00901F67">
      <w:pPr>
        <w:pStyle w:val="Doc-text2"/>
        <w:pBdr>
          <w:top w:val="single" w:sz="4" w:space="1" w:color="auto"/>
          <w:left w:val="single" w:sz="4" w:space="4" w:color="auto"/>
          <w:bottom w:val="single" w:sz="4" w:space="1" w:color="auto"/>
          <w:right w:val="single" w:sz="4" w:space="4" w:color="auto"/>
        </w:pBdr>
      </w:pPr>
      <w:r>
        <w:t>-</w:t>
      </w:r>
      <w:r>
        <w:tab/>
        <w:t xml:space="preserve">From reader perspective, </w:t>
      </w:r>
      <w:r w:rsidRPr="005D113E">
        <w:t>contention-free access procedure</w:t>
      </w:r>
      <w:r>
        <w:t xml:space="preserve"> we will study </w:t>
      </w:r>
      <w:r w:rsidRPr="005D113E">
        <w:t>single</w:t>
      </w:r>
      <w:r>
        <w:t xml:space="preserve"> and multi-</w:t>
      </w:r>
      <w:r w:rsidRPr="005D113E">
        <w:t>devic</w:t>
      </w:r>
      <w:r>
        <w:t xml:space="preserve">e case (depending on RAN1 discussion).  </w:t>
      </w:r>
    </w:p>
    <w:p w14:paraId="329BF64C" w14:textId="65A1242A" w:rsidR="00297E4A" w:rsidRDefault="00901F67" w:rsidP="007E2FC8">
      <w:r>
        <w:rPr>
          <w:rFonts w:hint="eastAsia"/>
        </w:rPr>
        <w:t>Considering above agreements, after the Ambient IoT device receives an A-IoT paging message, contents and timing of the first message sent by the device are different as following way.</w:t>
      </w:r>
    </w:p>
    <w:p w14:paraId="6CC0E186" w14:textId="01BF95C4" w:rsidR="00901F67" w:rsidRDefault="00901F67" w:rsidP="00901F67">
      <w:pPr>
        <w:pStyle w:val="ab"/>
        <w:numPr>
          <w:ilvl w:val="0"/>
          <w:numId w:val="10"/>
        </w:numPr>
        <w:ind w:leftChars="0"/>
      </w:pPr>
      <w:r>
        <w:rPr>
          <w:rFonts w:hint="eastAsia"/>
        </w:rPr>
        <w:t>In 4-step RA, the device sends A-IoT Msg1 containing a random ID generated by the device at a transmission occasion randomly selected by the device.</w:t>
      </w:r>
    </w:p>
    <w:p w14:paraId="78781846" w14:textId="2A55C7FA" w:rsidR="00901F67" w:rsidRDefault="00901F67" w:rsidP="00901F67">
      <w:pPr>
        <w:pStyle w:val="ab"/>
        <w:numPr>
          <w:ilvl w:val="0"/>
          <w:numId w:val="10"/>
        </w:numPr>
        <w:ind w:leftChars="0"/>
      </w:pPr>
      <w:r>
        <w:rPr>
          <w:rFonts w:hint="eastAsia"/>
        </w:rPr>
        <w:t>In 2-step CBRA, the device sends A-IoT Msg1 containing upper layer data at a transmission occasion randomly selected by the device.</w:t>
      </w:r>
    </w:p>
    <w:p w14:paraId="7AEB3E18" w14:textId="55BA76B9" w:rsidR="00901F67" w:rsidRDefault="00901F67" w:rsidP="00901F67">
      <w:pPr>
        <w:pStyle w:val="ab"/>
        <w:numPr>
          <w:ilvl w:val="0"/>
          <w:numId w:val="10"/>
        </w:numPr>
        <w:ind w:leftChars="0"/>
      </w:pPr>
      <w:r>
        <w:rPr>
          <w:rFonts w:hint="eastAsia"/>
        </w:rPr>
        <w:t>In contention-free access, the device sends a message (FFS contents) at a transmission occasion designated by the network.</w:t>
      </w:r>
    </w:p>
    <w:p w14:paraId="749F7861" w14:textId="20DDA4E9" w:rsidR="00297E4A" w:rsidRDefault="00C17A51" w:rsidP="007E2FC8">
      <w:r>
        <w:rPr>
          <w:rFonts w:hint="eastAsia"/>
        </w:rPr>
        <w:t>Therefore, the device has to be aware of which type of A-IoT rando</w:t>
      </w:r>
      <w:r w:rsidR="00B30630">
        <w:rPr>
          <w:rFonts w:hint="eastAsia"/>
        </w:rPr>
        <w:t>m</w:t>
      </w:r>
      <w:r>
        <w:rPr>
          <w:rFonts w:hint="eastAsia"/>
        </w:rPr>
        <w:t xml:space="preserve"> access procedure the device is required before it sends the first message in order to determine its contents and timing. Consequently, an indication of A-IoT random access type is needed in the A-IoT paging message.</w:t>
      </w:r>
    </w:p>
    <w:p w14:paraId="605B711F" w14:textId="3DF9B419" w:rsidR="00297E4A" w:rsidRDefault="00C17A51" w:rsidP="00C17A51">
      <w:pPr>
        <w:pStyle w:val="ObservationandProposal"/>
      </w:pPr>
      <w:r>
        <w:rPr>
          <w:rFonts w:hint="eastAsia"/>
        </w:rPr>
        <w:t xml:space="preserve">Observation </w:t>
      </w:r>
      <w:r w:rsidR="001531E0">
        <w:rPr>
          <w:rFonts w:hint="eastAsia"/>
        </w:rPr>
        <w:t>6</w:t>
      </w:r>
      <w:r>
        <w:rPr>
          <w:rFonts w:hint="eastAsia"/>
        </w:rPr>
        <w:t>.</w:t>
      </w:r>
      <w:r>
        <w:tab/>
      </w:r>
      <w:r>
        <w:rPr>
          <w:rFonts w:hint="eastAsia"/>
        </w:rPr>
        <w:t>Ambient IoT device has to be aware of which type of A-IoT random access is required to determine contents and timing of the first message.</w:t>
      </w:r>
    </w:p>
    <w:p w14:paraId="63D40EF3" w14:textId="37E76251" w:rsidR="00C17A51" w:rsidRDefault="00C17A51" w:rsidP="00C17A51">
      <w:pPr>
        <w:pStyle w:val="ObservationandProposal"/>
      </w:pPr>
      <w:r>
        <w:rPr>
          <w:rFonts w:hint="eastAsia"/>
        </w:rPr>
        <w:t xml:space="preserve">Proposal </w:t>
      </w:r>
      <w:r w:rsidR="001531E0">
        <w:rPr>
          <w:rFonts w:hint="eastAsia"/>
        </w:rPr>
        <w:t>4</w:t>
      </w:r>
      <w:r>
        <w:rPr>
          <w:rFonts w:hint="eastAsia"/>
        </w:rPr>
        <w:t>.</w:t>
      </w:r>
      <w:r>
        <w:tab/>
      </w:r>
      <w:r>
        <w:rPr>
          <w:rFonts w:hint="eastAsia"/>
        </w:rPr>
        <w:t>Ambient IoT reader indicates type of A-IoT random access procedure in A-IoT paging message.</w:t>
      </w:r>
    </w:p>
    <w:p w14:paraId="70C6876E" w14:textId="77777777" w:rsidR="00C17A51" w:rsidRDefault="00C17A51" w:rsidP="007E2FC8">
      <w:pPr>
        <w:rPr>
          <w:szCs w:val="22"/>
        </w:rPr>
      </w:pPr>
    </w:p>
    <w:p w14:paraId="4D66D791" w14:textId="4BA1CFB0" w:rsidR="00655116" w:rsidRPr="00655116" w:rsidRDefault="00655116" w:rsidP="007E2FC8">
      <w:pPr>
        <w:rPr>
          <w:b/>
          <w:bCs/>
          <w:szCs w:val="22"/>
          <w:u w:val="single"/>
        </w:rPr>
      </w:pPr>
      <w:r w:rsidRPr="00655116">
        <w:rPr>
          <w:rFonts w:hint="eastAsia"/>
          <w:b/>
          <w:bCs/>
          <w:szCs w:val="22"/>
          <w:u w:val="single"/>
        </w:rPr>
        <w:t>Resource for D2R message transmission</w:t>
      </w:r>
    </w:p>
    <w:p w14:paraId="1251D064" w14:textId="6A76ABFC" w:rsidR="00655116" w:rsidRDefault="00D235F4" w:rsidP="007E2FC8">
      <w:pPr>
        <w:rPr>
          <w:szCs w:val="22"/>
        </w:rPr>
      </w:pPr>
      <w:r>
        <w:rPr>
          <w:rFonts w:hint="eastAsia"/>
          <w:szCs w:val="22"/>
        </w:rPr>
        <w:t>According to RAN2 agreement in the last meeting, it is FFS how to provide information of resources for D2R message the device next sends.</w:t>
      </w:r>
    </w:p>
    <w:tbl>
      <w:tblPr>
        <w:tblStyle w:val="aa"/>
        <w:tblW w:w="0" w:type="auto"/>
        <w:tblInd w:w="-5" w:type="dxa"/>
        <w:tblLook w:val="04A0" w:firstRow="1" w:lastRow="0" w:firstColumn="1" w:lastColumn="0" w:noHBand="0" w:noVBand="1"/>
      </w:tblPr>
      <w:tblGrid>
        <w:gridCol w:w="9634"/>
      </w:tblGrid>
      <w:tr w:rsidR="00D235F4" w14:paraId="324B16E9" w14:textId="77777777" w:rsidTr="00E05FBE">
        <w:tc>
          <w:tcPr>
            <w:tcW w:w="9634" w:type="dxa"/>
          </w:tcPr>
          <w:p w14:paraId="4155E6F1" w14:textId="77777777" w:rsidR="00D235F4" w:rsidRPr="009E657A" w:rsidRDefault="00D235F4" w:rsidP="00E05FBE">
            <w:pPr>
              <w:pStyle w:val="Doc-text2"/>
              <w:ind w:left="363"/>
              <w:rPr>
                <w:b/>
                <w:bCs/>
              </w:rPr>
            </w:pPr>
            <w:r w:rsidRPr="009E657A">
              <w:rPr>
                <w:b/>
                <w:bCs/>
              </w:rPr>
              <w:t>Agreements</w:t>
            </w:r>
          </w:p>
          <w:p w14:paraId="5F538332" w14:textId="6A7C4958" w:rsidR="00D235F4" w:rsidRPr="00D235F4" w:rsidRDefault="00D235F4" w:rsidP="00E05FBE">
            <w:pPr>
              <w:pStyle w:val="Doc-text2"/>
              <w:ind w:left="363"/>
              <w:rPr>
                <w:rFonts w:eastAsiaTheme="minorEastAsia"/>
              </w:rPr>
            </w:pPr>
            <w:r>
              <w:rPr>
                <w:rFonts w:eastAsiaTheme="minorEastAsia" w:hint="eastAsia"/>
              </w:rPr>
              <w:t>(omit)</w:t>
            </w:r>
          </w:p>
          <w:p w14:paraId="21DCEB69" w14:textId="77777777" w:rsidR="00D235F4" w:rsidRDefault="00D235F4" w:rsidP="00E05FBE">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333FD13E" w14:textId="093FB721" w:rsidR="00D235F4" w:rsidRPr="00D235F4" w:rsidRDefault="00D235F4" w:rsidP="00E05FBE">
            <w:pPr>
              <w:pStyle w:val="Doc-text2"/>
              <w:ind w:left="363"/>
              <w:rPr>
                <w:rFonts w:eastAsiaTheme="minorEastAsia"/>
                <w:b/>
                <w:bCs/>
              </w:rPr>
            </w:pPr>
            <w:r>
              <w:rPr>
                <w:rFonts w:eastAsiaTheme="minorEastAsia" w:hint="eastAsia"/>
              </w:rPr>
              <w:t>(omit)</w:t>
            </w:r>
          </w:p>
        </w:tc>
      </w:tr>
    </w:tbl>
    <w:p w14:paraId="641629FE" w14:textId="0369FA7C" w:rsidR="00D235F4" w:rsidRDefault="00D235F4" w:rsidP="007E2FC8">
      <w:pPr>
        <w:rPr>
          <w:szCs w:val="22"/>
        </w:rPr>
      </w:pPr>
      <w:r>
        <w:rPr>
          <w:rFonts w:hint="eastAsia"/>
          <w:szCs w:val="22"/>
        </w:rPr>
        <w:t>As far as we understand, there is no RAN1 conclusion clear enough for RAN2 to start discussion on the detail of resource indication. We can still wait for RAN1 further progress.</w:t>
      </w:r>
    </w:p>
    <w:p w14:paraId="0C17D6CE" w14:textId="7F99538B" w:rsidR="00D235F4" w:rsidRDefault="00D235F4" w:rsidP="00D235F4">
      <w:pPr>
        <w:pStyle w:val="ObservationandProposal"/>
      </w:pPr>
      <w:r>
        <w:rPr>
          <w:rFonts w:hint="eastAsia"/>
        </w:rPr>
        <w:t xml:space="preserve">Proposal </w:t>
      </w:r>
      <w:r w:rsidR="001531E0">
        <w:rPr>
          <w:rFonts w:hint="eastAsia"/>
        </w:rPr>
        <w:t>5</w:t>
      </w:r>
      <w:r>
        <w:rPr>
          <w:rFonts w:hint="eastAsia"/>
        </w:rPr>
        <w:t>.</w:t>
      </w:r>
      <w:r>
        <w:tab/>
      </w:r>
      <w:r>
        <w:rPr>
          <w:rFonts w:hint="eastAsia"/>
        </w:rPr>
        <w:t>RAN2 wait for RAN1 further progress on details of resources to transmit A-IoT Msg1.</w:t>
      </w:r>
    </w:p>
    <w:p w14:paraId="4E27C34B" w14:textId="77777777" w:rsidR="00610994" w:rsidRPr="00262F8E" w:rsidRDefault="00610994"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0E9909C" w14:textId="77777777" w:rsidR="003C2443" w:rsidRDefault="003C2443" w:rsidP="003C2443">
      <w:pPr>
        <w:pStyle w:val="ObservationandProposal"/>
      </w:pPr>
      <w:r>
        <w:rPr>
          <w:rFonts w:hint="eastAsia"/>
        </w:rPr>
        <w:t>Observation 1.</w:t>
      </w:r>
      <w:r>
        <w:tab/>
      </w:r>
      <w:r>
        <w:rPr>
          <w:rFonts w:hint="eastAsia"/>
        </w:rPr>
        <w:t>Given that security protection is supported in upper layer, upper layer data for a command message provided in an A-IoT paging message cannot be decoded by more than one Ambient IoT devices since the upper layer security is E2E protection.</w:t>
      </w:r>
    </w:p>
    <w:p w14:paraId="5B5D9A79" w14:textId="77777777" w:rsidR="003C2443" w:rsidRPr="00F2584E" w:rsidRDefault="003C2443" w:rsidP="003C2443">
      <w:pPr>
        <w:pStyle w:val="ObservationandProposal"/>
      </w:pPr>
      <w:r>
        <w:rPr>
          <w:rFonts w:hint="eastAsia"/>
        </w:rPr>
        <w:t>Proposal 1.</w:t>
      </w:r>
      <w:r>
        <w:tab/>
      </w:r>
      <w:r>
        <w:rPr>
          <w:rFonts w:hint="eastAsia"/>
        </w:rPr>
        <w:t xml:space="preserve">RAN2 assume that only one device can be targeted in A-IoT paging message in </w:t>
      </w:r>
      <w:r>
        <w:t>“</w:t>
      </w:r>
      <w:r>
        <w:rPr>
          <w:rFonts w:hint="eastAsia"/>
        </w:rPr>
        <w:t>Command only</w:t>
      </w:r>
      <w:r>
        <w:t>”</w:t>
      </w:r>
      <w:r>
        <w:rPr>
          <w:rFonts w:hint="eastAsia"/>
        </w:rPr>
        <w:t xml:space="preserve"> use case. RAN2 can revisit based on SA2/SA3 conclusion.</w:t>
      </w:r>
    </w:p>
    <w:p w14:paraId="4C4E97BD" w14:textId="77777777" w:rsidR="003C2443" w:rsidRDefault="003C2443" w:rsidP="003C2443">
      <w:pPr>
        <w:pStyle w:val="ObservationandProposal"/>
      </w:pPr>
      <w:r>
        <w:rPr>
          <w:rFonts w:hint="eastAsia"/>
        </w:rPr>
        <w:t>O</w:t>
      </w:r>
      <w:r>
        <w:t xml:space="preserve">bservation </w:t>
      </w:r>
      <w:r>
        <w:rPr>
          <w:rFonts w:hint="eastAsia"/>
        </w:rPr>
        <w:t>2</w:t>
      </w:r>
      <w:r>
        <w:t>.</w:t>
      </w:r>
      <w:r>
        <w:tab/>
        <w:t xml:space="preserve">Ambient IoT </w:t>
      </w:r>
      <w:r>
        <w:rPr>
          <w:rFonts w:hint="eastAsia"/>
        </w:rPr>
        <w:t>d</w:t>
      </w:r>
      <w:r>
        <w:t xml:space="preserve">evice will send </w:t>
      </w:r>
      <w:r>
        <w:rPr>
          <w:rFonts w:hint="eastAsia"/>
        </w:rPr>
        <w:t>A-IoT Msg1 for times of the</w:t>
      </w:r>
      <w:r>
        <w:t xml:space="preserve"> number of nearby Ambient IoT </w:t>
      </w:r>
      <w:r>
        <w:rPr>
          <w:rFonts w:hint="eastAsia"/>
        </w:rPr>
        <w:t>r</w:t>
      </w:r>
      <w:r>
        <w:t>eaders, which increases possibility of contention.</w:t>
      </w:r>
    </w:p>
    <w:p w14:paraId="6F0EB114" w14:textId="77777777" w:rsidR="003C2443" w:rsidRDefault="003C2443" w:rsidP="003C2443">
      <w:pPr>
        <w:pStyle w:val="ObservationandProposal"/>
      </w:pPr>
      <w:r>
        <w:rPr>
          <w:rFonts w:hint="eastAsia"/>
        </w:rPr>
        <w:lastRenderedPageBreak/>
        <w:t>O</w:t>
      </w:r>
      <w:r>
        <w:t xml:space="preserve">bservation </w:t>
      </w:r>
      <w:r>
        <w:rPr>
          <w:rFonts w:hint="eastAsia"/>
        </w:rPr>
        <w:t>3</w:t>
      </w:r>
      <w:r>
        <w:t>.</w:t>
      </w:r>
      <w:r>
        <w:tab/>
        <w:t xml:space="preserve">Duplicated transmission of </w:t>
      </w:r>
      <w:r>
        <w:rPr>
          <w:rFonts w:hint="eastAsia"/>
        </w:rPr>
        <w:t>A-IoT Msg1</w:t>
      </w:r>
      <w:r>
        <w:t xml:space="preserve"> can be avoided via discarding </w:t>
      </w:r>
      <w:r>
        <w:rPr>
          <w:rFonts w:hint="eastAsia"/>
        </w:rPr>
        <w:t>A-IoT</w:t>
      </w:r>
      <w:r>
        <w:t xml:space="preserve"> </w:t>
      </w:r>
      <w:r>
        <w:rPr>
          <w:rFonts w:hint="eastAsia"/>
        </w:rPr>
        <w:t>paging messages</w:t>
      </w:r>
      <w:r>
        <w:t xml:space="preserve"> </w:t>
      </w:r>
      <w:r>
        <w:rPr>
          <w:rFonts w:hint="eastAsia"/>
        </w:rPr>
        <w:t xml:space="preserve">attached </w:t>
      </w:r>
      <w:r>
        <w:t>with the same Paging ID.</w:t>
      </w:r>
    </w:p>
    <w:p w14:paraId="21AC4B59" w14:textId="77777777" w:rsidR="003C2443" w:rsidRDefault="003C2443" w:rsidP="003C2443">
      <w:pPr>
        <w:pStyle w:val="ObservationandProposal"/>
      </w:pPr>
      <w:r>
        <w:rPr>
          <w:rFonts w:hint="eastAsia"/>
        </w:rPr>
        <w:t>P</w:t>
      </w:r>
      <w:r>
        <w:t xml:space="preserve">roposal </w:t>
      </w:r>
      <w:r>
        <w:rPr>
          <w:rFonts w:hint="eastAsia"/>
        </w:rPr>
        <w:t>2</w:t>
      </w:r>
      <w:r>
        <w:t>.</w:t>
      </w:r>
      <w:r>
        <w:tab/>
        <w:t xml:space="preserve">Introduce Paging ID to be attached to the </w:t>
      </w:r>
      <w:r>
        <w:rPr>
          <w:rFonts w:hint="eastAsia"/>
        </w:rPr>
        <w:t>A-IoT</w:t>
      </w:r>
      <w:r>
        <w:t xml:space="preserve"> </w:t>
      </w:r>
      <w:r>
        <w:rPr>
          <w:rFonts w:hint="eastAsia"/>
        </w:rPr>
        <w:t>paging messag</w:t>
      </w:r>
      <w:r>
        <w:t>e.</w:t>
      </w:r>
      <w:r>
        <w:rPr>
          <w:rFonts w:hint="eastAsia"/>
        </w:rPr>
        <w:t xml:space="preserve"> </w:t>
      </w:r>
      <w:r>
        <w:t xml:space="preserve">Ambient IoT </w:t>
      </w:r>
      <w:r>
        <w:rPr>
          <w:rFonts w:hint="eastAsia"/>
        </w:rPr>
        <w:t>d</w:t>
      </w:r>
      <w:r>
        <w:t xml:space="preserve">evices have to respond only once to </w:t>
      </w:r>
      <w:r>
        <w:rPr>
          <w:rFonts w:hint="eastAsia"/>
        </w:rPr>
        <w:t>A-IoT paging messages</w:t>
      </w:r>
      <w:r>
        <w:t xml:space="preserve"> with the same Paging ID.</w:t>
      </w:r>
    </w:p>
    <w:p w14:paraId="2C32A4ED" w14:textId="77777777" w:rsidR="003C2443" w:rsidRDefault="003C2443" w:rsidP="003C2443">
      <w:pPr>
        <w:pStyle w:val="ObservationandProposal"/>
      </w:pPr>
      <w:r>
        <w:rPr>
          <w:rFonts w:hint="eastAsia"/>
        </w:rPr>
        <w:t>O</w:t>
      </w:r>
      <w:r>
        <w:t xml:space="preserve">bservation </w:t>
      </w:r>
      <w:r>
        <w:rPr>
          <w:rFonts w:hint="eastAsia"/>
        </w:rPr>
        <w:t>4</w:t>
      </w:r>
      <w:r>
        <w:t>.</w:t>
      </w:r>
      <w:r>
        <w:tab/>
        <w:t xml:space="preserve">Reception of </w:t>
      </w:r>
      <w:r>
        <w:rPr>
          <w:rFonts w:hint="eastAsia"/>
        </w:rPr>
        <w:t>A-IoT Msg1</w:t>
      </w:r>
      <w:r>
        <w:t xml:space="preserve"> by multiple </w:t>
      </w:r>
      <w:r>
        <w:rPr>
          <w:rFonts w:hint="eastAsia"/>
        </w:rPr>
        <w:t>r</w:t>
      </w:r>
      <w:r>
        <w:t xml:space="preserve">eaders can result in duplicated </w:t>
      </w:r>
      <w:r>
        <w:rPr>
          <w:rFonts w:hint="eastAsia"/>
        </w:rPr>
        <w:t>upper layer data paths</w:t>
      </w:r>
      <w:r>
        <w:t xml:space="preserve"> which are not necessary but waste of radio resources for Readers.</w:t>
      </w:r>
    </w:p>
    <w:p w14:paraId="0FB7C6E8" w14:textId="77777777" w:rsidR="003C2443" w:rsidRDefault="003C2443" w:rsidP="003C2443">
      <w:pPr>
        <w:pStyle w:val="ObservationandProposal"/>
      </w:pPr>
      <w:r>
        <w:rPr>
          <w:rFonts w:hint="eastAsia"/>
        </w:rPr>
        <w:t>O</w:t>
      </w:r>
      <w:r>
        <w:t xml:space="preserve">bservation </w:t>
      </w:r>
      <w:r>
        <w:rPr>
          <w:rFonts w:hint="eastAsia"/>
        </w:rPr>
        <w:t>5</w:t>
      </w:r>
      <w:r>
        <w:t>.</w:t>
      </w:r>
      <w:r>
        <w:tab/>
        <w:t xml:space="preserve">Ambient IoT </w:t>
      </w:r>
      <w:r>
        <w:rPr>
          <w:rFonts w:hint="eastAsia"/>
        </w:rPr>
        <w:t>r</w:t>
      </w:r>
      <w:r>
        <w:t xml:space="preserve">eader can save radio resources to allocate to </w:t>
      </w:r>
      <w:r>
        <w:rPr>
          <w:rFonts w:hint="eastAsia"/>
        </w:rPr>
        <w:t>d</w:t>
      </w:r>
      <w:r>
        <w:t xml:space="preserve">evices responding to other </w:t>
      </w:r>
      <w:r>
        <w:rPr>
          <w:rFonts w:hint="eastAsia"/>
        </w:rPr>
        <w:t>r</w:t>
      </w:r>
      <w:r>
        <w:t>eaders if Reader ID is introduced.</w:t>
      </w:r>
    </w:p>
    <w:p w14:paraId="701DBB39" w14:textId="77777777" w:rsidR="0065175E" w:rsidRDefault="0065175E" w:rsidP="0065175E">
      <w:pPr>
        <w:pStyle w:val="ObservationandProposal"/>
      </w:pPr>
      <w:r>
        <w:rPr>
          <w:rFonts w:hint="eastAsia"/>
        </w:rPr>
        <w:t>P</w:t>
      </w:r>
      <w:r>
        <w:t xml:space="preserve">roposal </w:t>
      </w:r>
      <w:r>
        <w:rPr>
          <w:rFonts w:hint="eastAsia"/>
        </w:rPr>
        <w:t>3</w:t>
      </w:r>
      <w:r>
        <w:t>.</w:t>
      </w:r>
      <w:r>
        <w:tab/>
        <w:t xml:space="preserve">Introduce </w:t>
      </w:r>
      <w:r>
        <w:rPr>
          <w:rFonts w:hint="eastAsia"/>
        </w:rPr>
        <w:t xml:space="preserve">permanent or temporary </w:t>
      </w:r>
      <w:r>
        <w:t xml:space="preserve">Reader ID to be attached to </w:t>
      </w:r>
      <w:r>
        <w:rPr>
          <w:rFonts w:hint="eastAsia"/>
        </w:rPr>
        <w:t>A-IoT paging message</w:t>
      </w:r>
      <w:r>
        <w:t>.</w:t>
      </w:r>
      <w:r>
        <w:rPr>
          <w:rFonts w:hint="eastAsia"/>
        </w:rPr>
        <w:t xml:space="preserve"> </w:t>
      </w:r>
      <w:r>
        <w:t xml:space="preserve">Ambient IoT </w:t>
      </w:r>
      <w:r>
        <w:rPr>
          <w:rFonts w:hint="eastAsia"/>
        </w:rPr>
        <w:t>d</w:t>
      </w:r>
      <w:r>
        <w:t xml:space="preserve">evices can include a Reader ID in </w:t>
      </w:r>
      <w:r>
        <w:rPr>
          <w:rFonts w:hint="eastAsia"/>
        </w:rPr>
        <w:t>A-IoT Msg1</w:t>
      </w:r>
      <w:r>
        <w:t>.</w:t>
      </w:r>
    </w:p>
    <w:p w14:paraId="6CBBC4EF" w14:textId="77777777" w:rsidR="003C2443" w:rsidRDefault="003C2443" w:rsidP="003C2443">
      <w:pPr>
        <w:pStyle w:val="ObservationandProposal"/>
      </w:pPr>
      <w:r>
        <w:rPr>
          <w:rFonts w:hint="eastAsia"/>
        </w:rPr>
        <w:t>Observation 6.</w:t>
      </w:r>
      <w:r>
        <w:tab/>
      </w:r>
      <w:r>
        <w:rPr>
          <w:rFonts w:hint="eastAsia"/>
        </w:rPr>
        <w:t>Ambient IoT device has to be aware of which type of A-IoT random access is required to determine contents and timing of the first message.</w:t>
      </w:r>
    </w:p>
    <w:p w14:paraId="7A7EF06B" w14:textId="77777777" w:rsidR="003C2443" w:rsidRDefault="003C2443" w:rsidP="003C2443">
      <w:pPr>
        <w:pStyle w:val="ObservationandProposal"/>
      </w:pPr>
      <w:r>
        <w:rPr>
          <w:rFonts w:hint="eastAsia"/>
        </w:rPr>
        <w:t>Proposal 4.</w:t>
      </w:r>
      <w:r>
        <w:tab/>
      </w:r>
      <w:r>
        <w:rPr>
          <w:rFonts w:hint="eastAsia"/>
        </w:rPr>
        <w:t>Ambient IoT reader indicates type of A-IoT random access procedure in A-IoT paging message.</w:t>
      </w:r>
    </w:p>
    <w:p w14:paraId="37DAEA83" w14:textId="77777777" w:rsidR="003C2443" w:rsidRDefault="003C2443" w:rsidP="003C2443">
      <w:pPr>
        <w:pStyle w:val="ObservationandProposal"/>
      </w:pPr>
      <w:r>
        <w:rPr>
          <w:rFonts w:hint="eastAsia"/>
        </w:rPr>
        <w:t>Proposal 5.</w:t>
      </w:r>
      <w:r>
        <w:tab/>
      </w:r>
      <w:r>
        <w:rPr>
          <w:rFonts w:hint="eastAsia"/>
        </w:rPr>
        <w:t>RAN2 wait for RAN1 further progress on details of resources to transmit A-IoT Msg1.</w:t>
      </w:r>
    </w:p>
    <w:p w14:paraId="583CFA54" w14:textId="77777777" w:rsidR="00C128BE" w:rsidRPr="00262F8E" w:rsidRDefault="00C128BE"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31C357EC" w14:textId="6277CE89" w:rsidR="00E50D30" w:rsidRDefault="001B3DC5" w:rsidP="00F2584E">
      <w:pPr>
        <w:pStyle w:val="Reference"/>
      </w:pPr>
      <w:bookmarkStart w:id="1" w:name="_Hlk166234905"/>
      <w:r>
        <w:rPr>
          <w:rFonts w:hint="eastAsia"/>
        </w:rPr>
        <w:t>[1]</w:t>
      </w:r>
      <w:r w:rsidR="00452602">
        <w:tab/>
      </w:r>
      <w:r w:rsidR="00901F67">
        <w:rPr>
          <w:rFonts w:hint="eastAsia"/>
        </w:rPr>
        <w:t>Chair notes, RAN2#126.</w:t>
      </w:r>
    </w:p>
    <w:p w14:paraId="4271D50E" w14:textId="77777777" w:rsidR="00C128BE" w:rsidRDefault="00C128BE" w:rsidP="00C128BE">
      <w:pPr>
        <w:pStyle w:val="Reference"/>
      </w:pPr>
      <w:r>
        <w:rPr>
          <w:rFonts w:hint="eastAsia"/>
        </w:rPr>
        <w:t>[2]</w:t>
      </w:r>
      <w:r>
        <w:tab/>
      </w:r>
      <w:r w:rsidRPr="00894F7C">
        <w:t>R2-2406150</w:t>
      </w:r>
      <w:r>
        <w:rPr>
          <w:rFonts w:hint="eastAsia"/>
        </w:rPr>
        <w:t xml:space="preserve">, </w:t>
      </w:r>
      <w:r>
        <w:t>“</w:t>
      </w:r>
      <w:r w:rsidRPr="00F37DF0">
        <w:t>LS on RAN2 agreements and assumptions for Ambient IoT</w:t>
      </w:r>
      <w:r>
        <w:rPr>
          <w:rFonts w:hint="eastAsia"/>
        </w:rPr>
        <w:t>,</w:t>
      </w:r>
      <w:r>
        <w:t>”</w:t>
      </w:r>
      <w:r>
        <w:rPr>
          <w:rFonts w:hint="eastAsia"/>
        </w:rPr>
        <w:t xml:space="preserve"> RAN2#126.</w:t>
      </w:r>
    </w:p>
    <w:bookmarkEnd w:id="1"/>
    <w:p w14:paraId="71FB5545" w14:textId="77777777" w:rsidR="008E5A66" w:rsidRPr="00262F8E" w:rsidRDefault="008E5A66">
      <w:pPr>
        <w:rPr>
          <w:szCs w:val="22"/>
        </w:rPr>
      </w:pPr>
    </w:p>
    <w:sectPr w:rsidR="008E5A66" w:rsidRPr="00262F8E">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661D3" w14:textId="77777777" w:rsidR="00695DF6" w:rsidRDefault="00695DF6" w:rsidP="007E2FC8">
      <w:pPr>
        <w:spacing w:after="0"/>
      </w:pPr>
      <w:r>
        <w:separator/>
      </w:r>
    </w:p>
    <w:p w14:paraId="21738E28" w14:textId="77777777" w:rsidR="00695DF6" w:rsidRDefault="00695DF6"/>
    <w:p w14:paraId="69215857" w14:textId="77777777" w:rsidR="00695DF6" w:rsidRDefault="00695DF6" w:rsidP="00273403"/>
  </w:endnote>
  <w:endnote w:type="continuationSeparator" w:id="0">
    <w:p w14:paraId="1E93BC9C" w14:textId="77777777" w:rsidR="00695DF6" w:rsidRDefault="00695DF6" w:rsidP="007E2FC8">
      <w:pPr>
        <w:spacing w:after="0"/>
      </w:pPr>
      <w:r>
        <w:continuationSeparator/>
      </w:r>
    </w:p>
    <w:p w14:paraId="24B77FD8" w14:textId="77777777" w:rsidR="00695DF6" w:rsidRDefault="00695DF6"/>
    <w:p w14:paraId="2EB04CC6" w14:textId="77777777" w:rsidR="00695DF6" w:rsidRDefault="00695DF6"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C271A" w:rsidRDefault="003C271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4EE64" w14:textId="77777777" w:rsidR="00695DF6" w:rsidRDefault="00695DF6" w:rsidP="007E2FC8">
      <w:pPr>
        <w:spacing w:after="0"/>
      </w:pPr>
      <w:r>
        <w:separator/>
      </w:r>
    </w:p>
    <w:p w14:paraId="7D7A711A" w14:textId="77777777" w:rsidR="00695DF6" w:rsidRDefault="00695DF6"/>
    <w:p w14:paraId="5D51FF89" w14:textId="77777777" w:rsidR="00695DF6" w:rsidRDefault="00695DF6" w:rsidP="00273403"/>
  </w:footnote>
  <w:footnote w:type="continuationSeparator" w:id="0">
    <w:p w14:paraId="7A7CA445" w14:textId="77777777" w:rsidR="00695DF6" w:rsidRDefault="00695DF6" w:rsidP="007E2FC8">
      <w:pPr>
        <w:spacing w:after="0"/>
      </w:pPr>
      <w:r>
        <w:continuationSeparator/>
      </w:r>
    </w:p>
    <w:p w14:paraId="1AB6F59D" w14:textId="77777777" w:rsidR="00695DF6" w:rsidRDefault="00695DF6"/>
    <w:p w14:paraId="77F935F7" w14:textId="77777777" w:rsidR="00695DF6" w:rsidRDefault="00695DF6"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21DB0"/>
    <w:multiLevelType w:val="multilevel"/>
    <w:tmpl w:val="56EC2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E725D77"/>
    <w:multiLevelType w:val="hybridMultilevel"/>
    <w:tmpl w:val="E278DC28"/>
    <w:lvl w:ilvl="0" w:tplc="F97C9F0C">
      <w:start w:val="4"/>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8E1594C"/>
    <w:multiLevelType w:val="hybridMultilevel"/>
    <w:tmpl w:val="613479B2"/>
    <w:lvl w:ilvl="0" w:tplc="8DB018E4">
      <w:start w:val="3"/>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968174E"/>
    <w:multiLevelType w:val="hybridMultilevel"/>
    <w:tmpl w:val="C2DE701A"/>
    <w:lvl w:ilvl="0" w:tplc="AF221D06">
      <w:start w:val="9"/>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15:restartNumberingAfterBreak="0">
    <w:nsid w:val="792606AF"/>
    <w:multiLevelType w:val="multilevel"/>
    <w:tmpl w:val="3BC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66942341">
    <w:abstractNumId w:val="9"/>
  </w:num>
  <w:num w:numId="2" w16cid:durableId="1916432099">
    <w:abstractNumId w:val="7"/>
  </w:num>
  <w:num w:numId="3" w16cid:durableId="961111639">
    <w:abstractNumId w:val="8"/>
  </w:num>
  <w:num w:numId="4" w16cid:durableId="1589534433">
    <w:abstractNumId w:val="4"/>
  </w:num>
  <w:num w:numId="5" w16cid:durableId="891041236">
    <w:abstractNumId w:val="0"/>
    <w:lvlOverride w:ilvl="0">
      <w:startOverride w:val="1"/>
    </w:lvlOverride>
  </w:num>
  <w:num w:numId="6" w16cid:durableId="2012752785">
    <w:abstractNumId w:val="10"/>
    <w:lvlOverride w:ilvl="0">
      <w:startOverride w:val="5"/>
    </w:lvlOverride>
  </w:num>
  <w:num w:numId="7" w16cid:durableId="321663354">
    <w:abstractNumId w:val="6"/>
  </w:num>
  <w:num w:numId="8" w16cid:durableId="457338580">
    <w:abstractNumId w:val="1"/>
  </w:num>
  <w:num w:numId="9" w16cid:durableId="314459618">
    <w:abstractNumId w:val="2"/>
  </w:num>
  <w:num w:numId="10" w16cid:durableId="1637100741">
    <w:abstractNumId w:val="5"/>
  </w:num>
  <w:num w:numId="11" w16cid:durableId="2015996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CE9"/>
    <w:rsid w:val="00055777"/>
    <w:rsid w:val="000B6616"/>
    <w:rsid w:val="000C6A06"/>
    <w:rsid w:val="000E1585"/>
    <w:rsid w:val="001062FB"/>
    <w:rsid w:val="00121050"/>
    <w:rsid w:val="001376E5"/>
    <w:rsid w:val="0015049C"/>
    <w:rsid w:val="001531E0"/>
    <w:rsid w:val="0015598E"/>
    <w:rsid w:val="00187186"/>
    <w:rsid w:val="001B3DC5"/>
    <w:rsid w:val="001F27AA"/>
    <w:rsid w:val="001F35D2"/>
    <w:rsid w:val="002239ED"/>
    <w:rsid w:val="00224BB9"/>
    <w:rsid w:val="00243C5C"/>
    <w:rsid w:val="00262F8E"/>
    <w:rsid w:val="0026467A"/>
    <w:rsid w:val="00273403"/>
    <w:rsid w:val="00297E4A"/>
    <w:rsid w:val="002B674A"/>
    <w:rsid w:val="002C1350"/>
    <w:rsid w:val="00300640"/>
    <w:rsid w:val="00321874"/>
    <w:rsid w:val="0038128B"/>
    <w:rsid w:val="00385B37"/>
    <w:rsid w:val="003965B3"/>
    <w:rsid w:val="003B1ED1"/>
    <w:rsid w:val="003C2443"/>
    <w:rsid w:val="003C271A"/>
    <w:rsid w:val="00403E3D"/>
    <w:rsid w:val="004064C3"/>
    <w:rsid w:val="00407577"/>
    <w:rsid w:val="00452602"/>
    <w:rsid w:val="00461BA2"/>
    <w:rsid w:val="00461C13"/>
    <w:rsid w:val="00485A0F"/>
    <w:rsid w:val="004A3CEE"/>
    <w:rsid w:val="004D1B48"/>
    <w:rsid w:val="004E6B03"/>
    <w:rsid w:val="004F6390"/>
    <w:rsid w:val="00506F4F"/>
    <w:rsid w:val="00537958"/>
    <w:rsid w:val="00574F29"/>
    <w:rsid w:val="005839E2"/>
    <w:rsid w:val="005857F6"/>
    <w:rsid w:val="005A218C"/>
    <w:rsid w:val="005F1EB4"/>
    <w:rsid w:val="005F73C8"/>
    <w:rsid w:val="00610994"/>
    <w:rsid w:val="00632DD6"/>
    <w:rsid w:val="006430FE"/>
    <w:rsid w:val="0065175E"/>
    <w:rsid w:val="00655116"/>
    <w:rsid w:val="00695DF6"/>
    <w:rsid w:val="00710F23"/>
    <w:rsid w:val="00740A90"/>
    <w:rsid w:val="00745CD4"/>
    <w:rsid w:val="007614CE"/>
    <w:rsid w:val="00780551"/>
    <w:rsid w:val="00784114"/>
    <w:rsid w:val="007913CC"/>
    <w:rsid w:val="007E239A"/>
    <w:rsid w:val="007E2FC8"/>
    <w:rsid w:val="007E581D"/>
    <w:rsid w:val="00813CA1"/>
    <w:rsid w:val="0083168F"/>
    <w:rsid w:val="008429E5"/>
    <w:rsid w:val="00896DC7"/>
    <w:rsid w:val="008B7141"/>
    <w:rsid w:val="008C2D47"/>
    <w:rsid w:val="008E5A66"/>
    <w:rsid w:val="00901F67"/>
    <w:rsid w:val="00903130"/>
    <w:rsid w:val="00911A8A"/>
    <w:rsid w:val="0092421A"/>
    <w:rsid w:val="0092515C"/>
    <w:rsid w:val="00936FCA"/>
    <w:rsid w:val="0094262D"/>
    <w:rsid w:val="00982FE2"/>
    <w:rsid w:val="00984A2A"/>
    <w:rsid w:val="00991F61"/>
    <w:rsid w:val="009C4B39"/>
    <w:rsid w:val="009D663C"/>
    <w:rsid w:val="009E5153"/>
    <w:rsid w:val="00A32033"/>
    <w:rsid w:val="00A53764"/>
    <w:rsid w:val="00A76BF5"/>
    <w:rsid w:val="00A86D76"/>
    <w:rsid w:val="00A9226F"/>
    <w:rsid w:val="00AA698C"/>
    <w:rsid w:val="00AB422A"/>
    <w:rsid w:val="00AF1F19"/>
    <w:rsid w:val="00B17374"/>
    <w:rsid w:val="00B30630"/>
    <w:rsid w:val="00B329A1"/>
    <w:rsid w:val="00B97C54"/>
    <w:rsid w:val="00C128BE"/>
    <w:rsid w:val="00C17A51"/>
    <w:rsid w:val="00C51FB1"/>
    <w:rsid w:val="00C74B89"/>
    <w:rsid w:val="00C97CFC"/>
    <w:rsid w:val="00CA179F"/>
    <w:rsid w:val="00CB039C"/>
    <w:rsid w:val="00CB4503"/>
    <w:rsid w:val="00D235F4"/>
    <w:rsid w:val="00D26FF9"/>
    <w:rsid w:val="00D40190"/>
    <w:rsid w:val="00D434FA"/>
    <w:rsid w:val="00D67E04"/>
    <w:rsid w:val="00D8679B"/>
    <w:rsid w:val="00D94041"/>
    <w:rsid w:val="00DB76B3"/>
    <w:rsid w:val="00DE6140"/>
    <w:rsid w:val="00DF134B"/>
    <w:rsid w:val="00DF2B2C"/>
    <w:rsid w:val="00E2631E"/>
    <w:rsid w:val="00E404EA"/>
    <w:rsid w:val="00E45013"/>
    <w:rsid w:val="00E50D30"/>
    <w:rsid w:val="00E638ED"/>
    <w:rsid w:val="00E76F2F"/>
    <w:rsid w:val="00E87002"/>
    <w:rsid w:val="00EA7C7E"/>
    <w:rsid w:val="00EB1AD1"/>
    <w:rsid w:val="00EE79AE"/>
    <w:rsid w:val="00EF0EE8"/>
    <w:rsid w:val="00F2584E"/>
    <w:rsid w:val="00F34514"/>
    <w:rsid w:val="00F560E5"/>
    <w:rsid w:val="00F62D63"/>
    <w:rsid w:val="00F825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aliases w:val="TableGrid,网格型"/>
    <w:basedOn w:val="a1"/>
    <w:qFormat/>
    <w:rsid w:val="0048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82FE2"/>
    <w:pPr>
      <w:spacing w:before="100" w:beforeAutospacing="1" w:after="100" w:afterAutospacing="1"/>
    </w:pPr>
    <w:rPr>
      <w:rFonts w:ascii="ＭＳ Ｐゴシック" w:eastAsia="ＭＳ Ｐゴシック" w:hAnsi="ＭＳ Ｐゴシック" w:cs="ＭＳ Ｐゴシック"/>
      <w:sz w:val="24"/>
      <w:szCs w:val="24"/>
    </w:r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ac"/>
    <w:uiPriority w:val="34"/>
    <w:qFormat/>
    <w:rsid w:val="00982FE2"/>
    <w:pPr>
      <w:ind w:leftChars="400" w:left="840"/>
    </w:pPr>
  </w:style>
  <w:style w:type="paragraph" w:customStyle="1" w:styleId="Doc-text2">
    <w:name w:val="Doc-text2"/>
    <w:basedOn w:val="a"/>
    <w:link w:val="Doc-text2Char"/>
    <w:qFormat/>
    <w:rsid w:val="00901F67"/>
    <w:pPr>
      <w:tabs>
        <w:tab w:val="left" w:pos="1622"/>
      </w:tabs>
      <w:overflowPunct w:val="0"/>
      <w:autoSpaceDE w:val="0"/>
      <w:autoSpaceDN w:val="0"/>
      <w:adjustRightInd w:val="0"/>
      <w:spacing w:after="0"/>
      <w:ind w:left="1622" w:hanging="363"/>
      <w:textAlignment w:val="baseline"/>
    </w:pPr>
    <w:rPr>
      <w:rFonts w:eastAsia="Times New Roman" w:cs="Times New Roman"/>
      <w:sz w:val="20"/>
      <w:lang w:val="en-GB"/>
    </w:rPr>
  </w:style>
  <w:style w:type="character" w:customStyle="1" w:styleId="Doc-text2Char">
    <w:name w:val="Doc-text2 Char"/>
    <w:link w:val="Doc-text2"/>
    <w:qFormat/>
    <w:rsid w:val="00901F67"/>
    <w:rPr>
      <w:rFonts w:eastAsia="Times New Roman" w:cs="Times New Roman"/>
      <w:sz w:val="20"/>
      <w:lang w:val="en-GB"/>
    </w:r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rsid w:val="00901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517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6</Pages>
  <Words>1930</Words>
  <Characters>11007</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69</cp:revision>
  <dcterms:created xsi:type="dcterms:W3CDTF">2021-10-20T07:13:00Z</dcterms:created>
  <dcterms:modified xsi:type="dcterms:W3CDTF">2024-08-09T07:19:00Z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